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2B" w:rsidRPr="007430E0" w:rsidRDefault="00A8602B" w:rsidP="00386A67">
      <w:pPr>
        <w:pStyle w:val="NoSpacing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86A67" w:rsidRPr="007430E0" w:rsidRDefault="0002498A" w:rsidP="00386A67">
      <w:pPr>
        <w:pStyle w:val="NoSpacing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7430E0">
        <w:rPr>
          <w:rFonts w:ascii="Times New Roman" w:hAnsi="Times New Roman"/>
          <w:b/>
          <w:sz w:val="20"/>
          <w:szCs w:val="20"/>
          <w:u w:val="single"/>
        </w:rPr>
        <w:t>Annual Secretarial Compliance R</w:t>
      </w:r>
      <w:r w:rsidR="005B5EE0" w:rsidRPr="007430E0">
        <w:rPr>
          <w:rFonts w:ascii="Times New Roman" w:hAnsi="Times New Roman"/>
          <w:b/>
          <w:sz w:val="20"/>
          <w:szCs w:val="20"/>
          <w:u w:val="single"/>
        </w:rPr>
        <w:t xml:space="preserve">eport of </w:t>
      </w:r>
      <w:r w:rsidR="005B5EE0" w:rsidRPr="007430E0">
        <w:rPr>
          <w:rFonts w:ascii="Times New Roman" w:hAnsi="Times New Roman"/>
          <w:b/>
          <w:caps/>
          <w:sz w:val="20"/>
          <w:szCs w:val="20"/>
          <w:u w:val="single"/>
        </w:rPr>
        <w:t>Jyotirgamya Enterprises Limited</w:t>
      </w:r>
    </w:p>
    <w:p w:rsidR="00103906" w:rsidRPr="007430E0" w:rsidRDefault="005B5EE0" w:rsidP="00103906">
      <w:pPr>
        <w:pStyle w:val="NoSpacing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7430E0">
        <w:rPr>
          <w:rFonts w:ascii="Times New Roman" w:hAnsi="Times New Roman"/>
          <w:b/>
          <w:sz w:val="20"/>
          <w:szCs w:val="20"/>
          <w:u w:val="single"/>
        </w:rPr>
        <w:t>for the year ended 31</w:t>
      </w:r>
      <w:r w:rsidRPr="007430E0">
        <w:rPr>
          <w:rFonts w:ascii="Times New Roman" w:hAnsi="Times New Roman"/>
          <w:b/>
          <w:sz w:val="20"/>
          <w:szCs w:val="20"/>
          <w:u w:val="single"/>
          <w:vertAlign w:val="superscript"/>
        </w:rPr>
        <w:t>st</w:t>
      </w:r>
      <w:r w:rsidR="007430E0">
        <w:rPr>
          <w:rFonts w:ascii="Times New Roman" w:hAnsi="Times New Roman"/>
          <w:b/>
          <w:sz w:val="20"/>
          <w:szCs w:val="20"/>
          <w:u w:val="single"/>
        </w:rPr>
        <w:t xml:space="preserve"> March, 2021</w:t>
      </w:r>
    </w:p>
    <w:p w:rsidR="0002498A" w:rsidRPr="007430E0" w:rsidRDefault="0002498A" w:rsidP="00103906">
      <w:pPr>
        <w:pStyle w:val="NoSpacing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1D3F72" w:rsidRPr="007430E0" w:rsidRDefault="00386A67" w:rsidP="003645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0E0">
        <w:rPr>
          <w:rFonts w:ascii="Times New Roman" w:hAnsi="Times New Roman" w:cs="Times New Roman"/>
          <w:b/>
          <w:sz w:val="20"/>
          <w:szCs w:val="20"/>
        </w:rPr>
        <w:t>(Pursuant to SEBI - CIR/CFD/CM 01/27/2019 Dated February 08, 2019)</w:t>
      </w:r>
    </w:p>
    <w:p w:rsidR="00A8602B" w:rsidRPr="007430E0" w:rsidRDefault="00A8602B" w:rsidP="00A8602B">
      <w:pPr>
        <w:pStyle w:val="NoSpacing"/>
        <w:rPr>
          <w:sz w:val="20"/>
          <w:szCs w:val="20"/>
        </w:rPr>
      </w:pPr>
    </w:p>
    <w:p w:rsidR="008C0F5D" w:rsidRPr="007430E0" w:rsidRDefault="000C1369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 w:rsidRPr="007430E0">
        <w:rPr>
          <w:rFonts w:ascii="Times New Roman" w:hAnsi="Times New Roman" w:cs="Times New Roman"/>
          <w:sz w:val="20"/>
          <w:szCs w:val="20"/>
        </w:rPr>
        <w:t>We,</w:t>
      </w:r>
      <w:r w:rsidR="00457F58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457F58" w:rsidRPr="001C615E">
        <w:rPr>
          <w:rFonts w:ascii="Times New Roman" w:hAnsi="Times New Roman" w:cs="Times New Roman"/>
          <w:b/>
          <w:sz w:val="20"/>
          <w:szCs w:val="20"/>
        </w:rPr>
        <w:t>M/s</w:t>
      </w:r>
      <w:r w:rsidRPr="001C615E">
        <w:rPr>
          <w:rFonts w:ascii="Times New Roman" w:hAnsi="Times New Roman" w:cs="Times New Roman"/>
          <w:b/>
          <w:sz w:val="20"/>
          <w:szCs w:val="20"/>
        </w:rPr>
        <w:t xml:space="preserve"> Srishti Singh &amp; </w:t>
      </w:r>
      <w:r w:rsidR="00785A05" w:rsidRPr="001C615E">
        <w:rPr>
          <w:rFonts w:ascii="Times New Roman" w:hAnsi="Times New Roman" w:cs="Times New Roman"/>
          <w:b/>
          <w:sz w:val="20"/>
          <w:szCs w:val="20"/>
        </w:rPr>
        <w:t>Associates</w:t>
      </w:r>
      <w:r w:rsidRPr="007430E0">
        <w:rPr>
          <w:rFonts w:ascii="Times New Roman" w:hAnsi="Times New Roman" w:cs="Times New Roman"/>
          <w:sz w:val="20"/>
          <w:szCs w:val="20"/>
        </w:rPr>
        <w:t>,</w:t>
      </w:r>
      <w:r w:rsidR="008C0F5D" w:rsidRPr="007430E0">
        <w:rPr>
          <w:rFonts w:ascii="Times New Roman" w:hAnsi="Times New Roman" w:cs="Times New Roman"/>
          <w:sz w:val="20"/>
          <w:szCs w:val="20"/>
        </w:rPr>
        <w:t xml:space="preserve"> have examined:</w:t>
      </w:r>
    </w:p>
    <w:p w:rsidR="008C0F5D" w:rsidRPr="007430E0" w:rsidRDefault="008C0F5D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 w:rsidRPr="007430E0">
        <w:rPr>
          <w:rFonts w:ascii="Times New Roman" w:hAnsi="Times New Roman" w:cs="Times New Roman"/>
          <w:sz w:val="20"/>
          <w:szCs w:val="20"/>
        </w:rPr>
        <w:t xml:space="preserve">(a) all the documents and records made available to us and explanation provided by </w:t>
      </w:r>
      <w:r w:rsidR="000C1369" w:rsidRPr="001C615E">
        <w:rPr>
          <w:rFonts w:ascii="Times New Roman" w:hAnsi="Times New Roman" w:cs="Times New Roman"/>
          <w:b/>
          <w:sz w:val="20"/>
          <w:szCs w:val="20"/>
        </w:rPr>
        <w:t xml:space="preserve">Jyotirgamya Enterprises Limited </w:t>
      </w:r>
      <w:r w:rsidRPr="001C615E">
        <w:rPr>
          <w:rFonts w:ascii="Times New Roman" w:hAnsi="Times New Roman" w:cs="Times New Roman"/>
          <w:b/>
          <w:sz w:val="20"/>
          <w:szCs w:val="20"/>
        </w:rPr>
        <w:t>(“the listed entity”),</w:t>
      </w:r>
    </w:p>
    <w:p w:rsidR="008C0F5D" w:rsidRPr="007430E0" w:rsidRDefault="008C0F5D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 w:rsidRPr="007430E0">
        <w:rPr>
          <w:rFonts w:ascii="Times New Roman" w:hAnsi="Times New Roman" w:cs="Times New Roman"/>
          <w:sz w:val="20"/>
          <w:szCs w:val="20"/>
        </w:rPr>
        <w:t>(b) the filings/ submissions made by the listed entity to the stock exchanges,</w:t>
      </w:r>
    </w:p>
    <w:p w:rsidR="008C0F5D" w:rsidRPr="007430E0" w:rsidRDefault="008C0F5D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 w:rsidRPr="007430E0">
        <w:rPr>
          <w:rFonts w:ascii="Times New Roman" w:hAnsi="Times New Roman" w:cs="Times New Roman"/>
          <w:sz w:val="20"/>
          <w:szCs w:val="20"/>
        </w:rPr>
        <w:t>(c) website of the listed entity,</w:t>
      </w:r>
    </w:p>
    <w:p w:rsidR="008220A7" w:rsidRPr="007430E0" w:rsidRDefault="008C0F5D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 w:rsidRPr="007430E0">
        <w:rPr>
          <w:rFonts w:ascii="Times New Roman" w:hAnsi="Times New Roman" w:cs="Times New Roman"/>
          <w:sz w:val="20"/>
          <w:szCs w:val="20"/>
        </w:rPr>
        <w:t>(d) any other document/ filing, as may be relevant, which has been relied upon to make this certification</w:t>
      </w:r>
      <w:r w:rsidR="000C1369" w:rsidRPr="007430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0F5D" w:rsidRPr="007430E0" w:rsidRDefault="000C1369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 w:rsidRPr="007430E0">
        <w:rPr>
          <w:rFonts w:ascii="Times New Roman" w:hAnsi="Times New Roman" w:cs="Times New Roman"/>
          <w:sz w:val="20"/>
          <w:szCs w:val="20"/>
        </w:rPr>
        <w:t xml:space="preserve">for the year ended </w:t>
      </w:r>
      <w:r w:rsidR="00785A05" w:rsidRPr="006F1B0D">
        <w:rPr>
          <w:rFonts w:ascii="Times New Roman" w:hAnsi="Times New Roman" w:cs="Times New Roman"/>
          <w:b/>
          <w:sz w:val="20"/>
          <w:szCs w:val="20"/>
        </w:rPr>
        <w:t>31</w:t>
      </w:r>
      <w:r w:rsidR="00785A05" w:rsidRPr="006F1B0D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="00785A05" w:rsidRPr="006F1B0D">
        <w:rPr>
          <w:rFonts w:ascii="Times New Roman" w:hAnsi="Times New Roman" w:cs="Times New Roman"/>
          <w:b/>
          <w:sz w:val="20"/>
          <w:szCs w:val="20"/>
        </w:rPr>
        <w:t xml:space="preserve"> March, </w:t>
      </w:r>
      <w:r w:rsidR="007430E0" w:rsidRPr="006F1B0D">
        <w:rPr>
          <w:rFonts w:ascii="Times New Roman" w:hAnsi="Times New Roman" w:cs="Times New Roman"/>
          <w:b/>
          <w:sz w:val="20"/>
          <w:szCs w:val="20"/>
        </w:rPr>
        <w:t>2021</w:t>
      </w:r>
      <w:r w:rsidR="008C0F5D" w:rsidRPr="006F1B0D">
        <w:rPr>
          <w:rFonts w:ascii="Times New Roman" w:hAnsi="Times New Roman" w:cs="Times New Roman"/>
          <w:b/>
          <w:sz w:val="20"/>
          <w:szCs w:val="20"/>
        </w:rPr>
        <w:t xml:space="preserve"> (“Review Period”)</w:t>
      </w:r>
      <w:r w:rsidR="008C0F5D" w:rsidRPr="007430E0">
        <w:rPr>
          <w:rFonts w:ascii="Times New Roman" w:hAnsi="Times New Roman" w:cs="Times New Roman"/>
          <w:sz w:val="20"/>
          <w:szCs w:val="20"/>
        </w:rPr>
        <w:t xml:space="preserve"> in respect of compliance with the provisions of :</w:t>
      </w:r>
    </w:p>
    <w:p w:rsidR="008C0F5D" w:rsidRPr="007430E0" w:rsidRDefault="00530AD0" w:rsidP="007430E0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</w:t>
      </w:r>
      <w:r w:rsidR="00386A67" w:rsidRPr="007430E0">
        <w:rPr>
          <w:rFonts w:ascii="Times New Roman" w:hAnsi="Times New Roman" w:cs="Times New Roman"/>
          <w:sz w:val="20"/>
          <w:szCs w:val="20"/>
        </w:rPr>
        <w:t>) t</w:t>
      </w:r>
      <w:r w:rsidR="008C0F5D" w:rsidRPr="007430E0">
        <w:rPr>
          <w:rFonts w:ascii="Times New Roman" w:hAnsi="Times New Roman" w:cs="Times New Roman"/>
          <w:sz w:val="20"/>
          <w:szCs w:val="20"/>
        </w:rPr>
        <w:t>he Securities and Exchange Board of India Act, 1992 (“SEBI Act”) and the Regulations, circulars, guidelines issued there</w:t>
      </w:r>
      <w:r w:rsidR="00785A05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8C0F5D" w:rsidRPr="007430E0">
        <w:rPr>
          <w:rFonts w:ascii="Times New Roman" w:hAnsi="Times New Roman" w:cs="Times New Roman"/>
          <w:sz w:val="20"/>
          <w:szCs w:val="20"/>
        </w:rPr>
        <w:t>under; and</w:t>
      </w:r>
    </w:p>
    <w:p w:rsidR="008C0F5D" w:rsidRPr="007430E0" w:rsidRDefault="00530AD0" w:rsidP="007430E0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</w:t>
      </w:r>
      <w:r w:rsidR="00386A67" w:rsidRPr="007430E0">
        <w:rPr>
          <w:rFonts w:ascii="Times New Roman" w:hAnsi="Times New Roman" w:cs="Times New Roman"/>
          <w:sz w:val="20"/>
          <w:szCs w:val="20"/>
        </w:rPr>
        <w:t>) t</w:t>
      </w:r>
      <w:r w:rsidR="008C0F5D" w:rsidRPr="007430E0">
        <w:rPr>
          <w:rFonts w:ascii="Times New Roman" w:hAnsi="Times New Roman" w:cs="Times New Roman"/>
          <w:sz w:val="20"/>
          <w:szCs w:val="20"/>
        </w:rPr>
        <w:t>he Securities Contracts (Regulation) Act, 1956 (“SCRA”), rules made there</w:t>
      </w:r>
      <w:r w:rsidR="000C1369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8C0F5D" w:rsidRPr="007430E0">
        <w:rPr>
          <w:rFonts w:ascii="Times New Roman" w:hAnsi="Times New Roman" w:cs="Times New Roman"/>
          <w:sz w:val="20"/>
          <w:szCs w:val="20"/>
        </w:rPr>
        <w:t>under and the Regulations, circulars, guidelines issued there</w:t>
      </w:r>
      <w:r w:rsidR="00785A05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8C0F5D" w:rsidRPr="007430E0">
        <w:rPr>
          <w:rFonts w:ascii="Times New Roman" w:hAnsi="Times New Roman" w:cs="Times New Roman"/>
          <w:sz w:val="20"/>
          <w:szCs w:val="20"/>
        </w:rPr>
        <w:t>under by the Securities and Exchange Board of India (“SEBI”);</w:t>
      </w:r>
    </w:p>
    <w:p w:rsidR="008C0F5D" w:rsidRPr="007430E0" w:rsidRDefault="008C0F5D" w:rsidP="00530AD0">
      <w:pPr>
        <w:jc w:val="both"/>
        <w:rPr>
          <w:rFonts w:ascii="Times New Roman" w:hAnsi="Times New Roman" w:cs="Times New Roman"/>
          <w:sz w:val="20"/>
          <w:szCs w:val="20"/>
        </w:rPr>
      </w:pPr>
      <w:r w:rsidRPr="007430E0">
        <w:rPr>
          <w:rFonts w:ascii="Times New Roman" w:hAnsi="Times New Roman" w:cs="Times New Roman"/>
          <w:sz w:val="20"/>
          <w:szCs w:val="20"/>
        </w:rPr>
        <w:t>The specific Regulations, whose provisions and the circulars/ guidelines issued there</w:t>
      </w:r>
      <w:r w:rsidR="00457F58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Pr="007430E0">
        <w:rPr>
          <w:rFonts w:ascii="Times New Roman" w:hAnsi="Times New Roman" w:cs="Times New Roman"/>
          <w:sz w:val="20"/>
          <w:szCs w:val="20"/>
        </w:rPr>
        <w:t>under, have been examined, include:-</w:t>
      </w:r>
    </w:p>
    <w:p w:rsidR="008C0F5D" w:rsidRPr="007430E0" w:rsidRDefault="00530AD0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</w:t>
      </w:r>
      <w:r w:rsidR="00386A67" w:rsidRPr="007430E0">
        <w:rPr>
          <w:rFonts w:ascii="Times New Roman" w:hAnsi="Times New Roman" w:cs="Times New Roman"/>
          <w:sz w:val="20"/>
          <w:szCs w:val="20"/>
        </w:rPr>
        <w:t xml:space="preserve">) </w:t>
      </w:r>
      <w:r w:rsidR="008C0F5D" w:rsidRPr="007430E0">
        <w:rPr>
          <w:rFonts w:ascii="Times New Roman" w:hAnsi="Times New Roman" w:cs="Times New Roman"/>
          <w:sz w:val="20"/>
          <w:szCs w:val="20"/>
        </w:rPr>
        <w:t>Securities and Exchange Board of India (Listing Obligations and Disclosure Requirements) Regulations, 2015;</w:t>
      </w:r>
      <w:r w:rsidR="000C1369" w:rsidRPr="007430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A67" w:rsidRPr="007430E0" w:rsidRDefault="00530AD0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(ii</w:t>
      </w:r>
      <w:r w:rsidR="008C0F5D" w:rsidRPr="007430E0">
        <w:rPr>
          <w:rFonts w:ascii="Times New Roman" w:hAnsi="Times New Roman" w:cs="Times New Roman"/>
          <w:sz w:val="20"/>
          <w:szCs w:val="20"/>
        </w:rPr>
        <w:t xml:space="preserve">) </w:t>
      </w:r>
      <w:r w:rsidR="00386A67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0C1369" w:rsidRPr="007430E0">
        <w:rPr>
          <w:rFonts w:ascii="Times New Roman" w:hAnsi="Times New Roman" w:cs="Times New Roman"/>
          <w:sz w:val="20"/>
          <w:szCs w:val="20"/>
        </w:rPr>
        <w:t>Securities and Exchange Board of India (Issue of Capital and Disclosure Requi</w:t>
      </w:r>
      <w:r w:rsidR="00457F58" w:rsidRPr="007430E0">
        <w:rPr>
          <w:rFonts w:ascii="Times New Roman" w:hAnsi="Times New Roman" w:cs="Times New Roman"/>
          <w:sz w:val="20"/>
          <w:szCs w:val="20"/>
        </w:rPr>
        <w:t>rements) Regulations, 201</w:t>
      </w:r>
      <w:r w:rsidR="006F1B0D">
        <w:rPr>
          <w:rFonts w:ascii="Times New Roman" w:hAnsi="Times New Roman" w:cs="Times New Roman"/>
          <w:sz w:val="20"/>
          <w:szCs w:val="20"/>
        </w:rPr>
        <w:t>8</w:t>
      </w:r>
      <w:r w:rsidR="00386A67" w:rsidRPr="007430E0">
        <w:rPr>
          <w:rFonts w:ascii="Times New Roman" w:hAnsi="Times New Roman" w:cs="Times New Roman"/>
          <w:sz w:val="20"/>
          <w:szCs w:val="20"/>
        </w:rPr>
        <w:t>;</w:t>
      </w:r>
    </w:p>
    <w:p w:rsidR="008C0F5D" w:rsidRPr="007430E0" w:rsidRDefault="00530AD0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(iii</w:t>
      </w:r>
      <w:r w:rsidR="00386A67" w:rsidRPr="007430E0">
        <w:rPr>
          <w:rFonts w:ascii="Times New Roman" w:hAnsi="Times New Roman" w:cs="Times New Roman"/>
          <w:sz w:val="20"/>
          <w:szCs w:val="20"/>
        </w:rPr>
        <w:t>)</w:t>
      </w:r>
      <w:r w:rsidR="000C1369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8C0F5D" w:rsidRPr="007430E0">
        <w:rPr>
          <w:rFonts w:ascii="Times New Roman" w:hAnsi="Times New Roman" w:cs="Times New Roman"/>
          <w:sz w:val="20"/>
          <w:szCs w:val="20"/>
        </w:rPr>
        <w:t>Securities and Exchange Board of India (Substantial Acquisition of Shares and Takeovers) Regulations, 2011;</w:t>
      </w:r>
    </w:p>
    <w:p w:rsidR="008C0F5D" w:rsidRPr="007430E0" w:rsidRDefault="00530AD0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(iv)</w:t>
      </w:r>
      <w:r w:rsidR="000C1369" w:rsidRPr="007430E0">
        <w:rPr>
          <w:rFonts w:ascii="Times New Roman" w:hAnsi="Times New Roman" w:cs="Times New Roman"/>
          <w:sz w:val="20"/>
          <w:szCs w:val="20"/>
        </w:rPr>
        <w:t xml:space="preserve">Securities and Exchange Board of India (Buyback </w:t>
      </w:r>
      <w:r w:rsidR="00386A67" w:rsidRPr="007430E0">
        <w:rPr>
          <w:rFonts w:ascii="Times New Roman" w:hAnsi="Times New Roman" w:cs="Times New Roman"/>
          <w:sz w:val="20"/>
          <w:szCs w:val="20"/>
        </w:rPr>
        <w:t>of Securities) Regulations, 2018</w:t>
      </w:r>
      <w:r w:rsidR="00793748">
        <w:rPr>
          <w:rFonts w:ascii="Times New Roman" w:hAnsi="Times New Roman" w:cs="Times New Roman"/>
          <w:sz w:val="20"/>
          <w:szCs w:val="20"/>
        </w:rPr>
        <w:t>;</w:t>
      </w:r>
      <w:r w:rsidR="000C1369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1A7059" w:rsidRPr="007430E0">
        <w:rPr>
          <w:rFonts w:ascii="Times New Roman" w:hAnsi="Times New Roman" w:cs="Times New Roman"/>
          <w:b/>
          <w:sz w:val="20"/>
          <w:szCs w:val="20"/>
        </w:rPr>
        <w:t>(Not applicable to Company during period under review)</w:t>
      </w:r>
    </w:p>
    <w:p w:rsidR="008C0F5D" w:rsidRPr="007430E0" w:rsidRDefault="00530AD0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</w:t>
      </w:r>
      <w:r w:rsidR="008C0F5D" w:rsidRPr="007430E0">
        <w:rPr>
          <w:rFonts w:ascii="Times New Roman" w:hAnsi="Times New Roman" w:cs="Times New Roman"/>
          <w:sz w:val="20"/>
          <w:szCs w:val="20"/>
        </w:rPr>
        <w:t xml:space="preserve">) </w:t>
      </w:r>
      <w:r w:rsidR="00D709D5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8C0F5D" w:rsidRPr="007430E0">
        <w:rPr>
          <w:rFonts w:ascii="Times New Roman" w:hAnsi="Times New Roman" w:cs="Times New Roman"/>
          <w:sz w:val="20"/>
          <w:szCs w:val="20"/>
        </w:rPr>
        <w:t>Securities and Exchange Board of India (Share Based Employee Benefits) Regulations, 2014;</w:t>
      </w:r>
      <w:r w:rsidR="009663DD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9663DD" w:rsidRPr="007430E0">
        <w:rPr>
          <w:rFonts w:ascii="Times New Roman" w:hAnsi="Times New Roman" w:cs="Times New Roman"/>
          <w:b/>
          <w:sz w:val="20"/>
          <w:szCs w:val="20"/>
        </w:rPr>
        <w:t>(Not applicable to Company during period under review)</w:t>
      </w:r>
    </w:p>
    <w:p w:rsidR="008C0F5D" w:rsidRPr="007430E0" w:rsidRDefault="00530AD0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(vi</w:t>
      </w:r>
      <w:r w:rsidR="00793748">
        <w:rPr>
          <w:rFonts w:ascii="Times New Roman" w:hAnsi="Times New Roman" w:cs="Times New Roman"/>
          <w:sz w:val="20"/>
          <w:szCs w:val="20"/>
        </w:rPr>
        <w:t xml:space="preserve">) </w:t>
      </w:r>
      <w:r w:rsidR="008C0F5D" w:rsidRPr="007430E0">
        <w:rPr>
          <w:rFonts w:ascii="Times New Roman" w:hAnsi="Times New Roman" w:cs="Times New Roman"/>
          <w:sz w:val="20"/>
          <w:szCs w:val="20"/>
        </w:rPr>
        <w:t>Securities and Exchange Board of India (Issue and Listing of Debt Securities) Regulations, 2008;</w:t>
      </w:r>
      <w:r w:rsidR="009663DD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9663DD" w:rsidRPr="007430E0">
        <w:rPr>
          <w:rFonts w:ascii="Times New Roman" w:hAnsi="Times New Roman" w:cs="Times New Roman"/>
          <w:b/>
          <w:sz w:val="20"/>
          <w:szCs w:val="20"/>
        </w:rPr>
        <w:t>(Not applicable to Company during period under review)</w:t>
      </w:r>
    </w:p>
    <w:p w:rsidR="008C0F5D" w:rsidRPr="007430E0" w:rsidRDefault="00530AD0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(vii</w:t>
      </w:r>
      <w:r w:rsidR="00386A67" w:rsidRPr="007430E0">
        <w:rPr>
          <w:rFonts w:ascii="Times New Roman" w:hAnsi="Times New Roman" w:cs="Times New Roman"/>
          <w:sz w:val="20"/>
          <w:szCs w:val="20"/>
        </w:rPr>
        <w:t>)</w:t>
      </w:r>
      <w:r w:rsidR="00D709D5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8C0F5D" w:rsidRPr="007430E0">
        <w:rPr>
          <w:rFonts w:ascii="Times New Roman" w:hAnsi="Times New Roman" w:cs="Times New Roman"/>
          <w:sz w:val="20"/>
          <w:szCs w:val="20"/>
        </w:rPr>
        <w:t>Securities and Exchange Board of India</w:t>
      </w:r>
      <w:r w:rsidR="00D709D5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8C0F5D" w:rsidRPr="007430E0">
        <w:rPr>
          <w:rFonts w:ascii="Times New Roman" w:hAnsi="Times New Roman" w:cs="Times New Roman"/>
          <w:sz w:val="20"/>
          <w:szCs w:val="20"/>
        </w:rPr>
        <w:t>(Issue and Listing of Non-Convertible and Redeemable Preference Shares) Regulations,</w:t>
      </w:r>
      <w:r w:rsidR="00D709D5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8C0F5D" w:rsidRPr="007430E0">
        <w:rPr>
          <w:rFonts w:ascii="Times New Roman" w:hAnsi="Times New Roman" w:cs="Times New Roman"/>
          <w:sz w:val="20"/>
          <w:szCs w:val="20"/>
        </w:rPr>
        <w:t>2013;</w:t>
      </w:r>
      <w:r w:rsidR="00457F58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457F58" w:rsidRPr="007430E0">
        <w:rPr>
          <w:rFonts w:ascii="Times New Roman" w:hAnsi="Times New Roman" w:cs="Times New Roman"/>
          <w:b/>
          <w:sz w:val="20"/>
          <w:szCs w:val="20"/>
        </w:rPr>
        <w:t>(Not applicable to Company during period under review)</w:t>
      </w:r>
    </w:p>
    <w:p w:rsidR="008C0F5D" w:rsidRPr="007430E0" w:rsidRDefault="00530AD0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(viii</w:t>
      </w:r>
      <w:r w:rsidR="008C0F5D" w:rsidRPr="007430E0">
        <w:rPr>
          <w:rFonts w:ascii="Times New Roman" w:hAnsi="Times New Roman" w:cs="Times New Roman"/>
          <w:sz w:val="20"/>
          <w:szCs w:val="20"/>
        </w:rPr>
        <w:t xml:space="preserve">) </w:t>
      </w:r>
      <w:r w:rsidR="00D709D5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8C0F5D" w:rsidRPr="007430E0">
        <w:rPr>
          <w:rFonts w:ascii="Times New Roman" w:hAnsi="Times New Roman" w:cs="Times New Roman"/>
          <w:sz w:val="20"/>
          <w:szCs w:val="20"/>
        </w:rPr>
        <w:t>Securities and Exchange Board of India (Prohibition of Insider Trading) Regulations, 2015;</w:t>
      </w:r>
    </w:p>
    <w:p w:rsidR="008C0F5D" w:rsidRPr="007430E0" w:rsidRDefault="00386A67" w:rsidP="00793748">
      <w:pPr>
        <w:jc w:val="both"/>
        <w:rPr>
          <w:rFonts w:ascii="Times New Roman" w:hAnsi="Times New Roman" w:cs="Times New Roman"/>
          <w:sz w:val="20"/>
          <w:szCs w:val="20"/>
        </w:rPr>
      </w:pPr>
      <w:r w:rsidRPr="007430E0">
        <w:rPr>
          <w:rFonts w:ascii="Times New Roman" w:hAnsi="Times New Roman" w:cs="Times New Roman"/>
          <w:sz w:val="20"/>
          <w:szCs w:val="20"/>
        </w:rPr>
        <w:t>(i</w:t>
      </w:r>
      <w:r w:rsidR="00530AD0">
        <w:rPr>
          <w:rFonts w:ascii="Times New Roman" w:hAnsi="Times New Roman" w:cs="Times New Roman"/>
          <w:sz w:val="20"/>
          <w:szCs w:val="20"/>
        </w:rPr>
        <w:t>x</w:t>
      </w:r>
      <w:r w:rsidRPr="007430E0">
        <w:rPr>
          <w:rFonts w:ascii="Times New Roman" w:hAnsi="Times New Roman" w:cs="Times New Roman"/>
          <w:sz w:val="20"/>
          <w:szCs w:val="20"/>
        </w:rPr>
        <w:t>)</w:t>
      </w:r>
      <w:r w:rsidR="00D709D5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="00793748" w:rsidRPr="00793748">
        <w:rPr>
          <w:rFonts w:ascii="Times New Roman" w:hAnsi="Times New Roman" w:cs="Times New Roman"/>
          <w:sz w:val="20"/>
          <w:szCs w:val="20"/>
        </w:rPr>
        <w:t>Securities and Exchange Board of India (Depositories and Participants)</w:t>
      </w:r>
      <w:r w:rsidR="00793748">
        <w:rPr>
          <w:rFonts w:ascii="Times New Roman" w:hAnsi="Times New Roman" w:cs="Times New Roman"/>
          <w:sz w:val="20"/>
          <w:szCs w:val="20"/>
        </w:rPr>
        <w:t xml:space="preserve"> </w:t>
      </w:r>
      <w:r w:rsidR="00793748" w:rsidRPr="00793748">
        <w:rPr>
          <w:rFonts w:ascii="Times New Roman" w:hAnsi="Times New Roman" w:cs="Times New Roman"/>
          <w:sz w:val="20"/>
          <w:szCs w:val="20"/>
        </w:rPr>
        <w:t>Regulations, 2018 and Securities and Exchange Board of India (Depositories and</w:t>
      </w:r>
      <w:r w:rsidR="00793748">
        <w:rPr>
          <w:rFonts w:ascii="Times New Roman" w:hAnsi="Times New Roman" w:cs="Times New Roman"/>
          <w:sz w:val="20"/>
          <w:szCs w:val="20"/>
        </w:rPr>
        <w:t xml:space="preserve"> </w:t>
      </w:r>
      <w:r w:rsidR="00793748" w:rsidRPr="00793748">
        <w:rPr>
          <w:rFonts w:ascii="Times New Roman" w:hAnsi="Times New Roman" w:cs="Times New Roman"/>
          <w:sz w:val="20"/>
          <w:szCs w:val="20"/>
        </w:rPr>
        <w:t>Participants) Regulations, 1996 as applicable;</w:t>
      </w:r>
    </w:p>
    <w:p w:rsidR="00463901" w:rsidRPr="007430E0" w:rsidRDefault="00530AD0" w:rsidP="008C0F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(x</w:t>
      </w:r>
      <w:r w:rsidR="001D3F72" w:rsidRPr="007430E0">
        <w:rPr>
          <w:rFonts w:ascii="Times New Roman" w:hAnsi="Times New Roman" w:cs="Times New Roman"/>
          <w:sz w:val="20"/>
          <w:szCs w:val="20"/>
        </w:rPr>
        <w:t>) Other applicable circulars/ guidelines issued there under;</w:t>
      </w:r>
    </w:p>
    <w:p w:rsidR="005B5EE0" w:rsidRPr="007430E0" w:rsidRDefault="00D709D5" w:rsidP="00386A67">
      <w:pPr>
        <w:jc w:val="both"/>
        <w:rPr>
          <w:rFonts w:ascii="Times New Roman" w:hAnsi="Times New Roman" w:cs="Times New Roman"/>
          <w:sz w:val="20"/>
          <w:szCs w:val="20"/>
        </w:rPr>
      </w:pPr>
      <w:r w:rsidRPr="007430E0">
        <w:rPr>
          <w:rFonts w:ascii="Times New Roman" w:hAnsi="Times New Roman" w:cs="Times New Roman"/>
          <w:sz w:val="20"/>
          <w:szCs w:val="20"/>
        </w:rPr>
        <w:lastRenderedPageBreak/>
        <w:t>and based on th</w:t>
      </w:r>
      <w:r w:rsidR="00785A05" w:rsidRPr="007430E0">
        <w:rPr>
          <w:rFonts w:ascii="Times New Roman" w:hAnsi="Times New Roman" w:cs="Times New Roman"/>
          <w:sz w:val="20"/>
          <w:szCs w:val="20"/>
        </w:rPr>
        <w:t>e above examination, w</w:t>
      </w:r>
      <w:r w:rsidRPr="007430E0">
        <w:rPr>
          <w:rFonts w:ascii="Times New Roman" w:hAnsi="Times New Roman" w:cs="Times New Roman"/>
          <w:sz w:val="20"/>
          <w:szCs w:val="20"/>
        </w:rPr>
        <w:t>e hereby report that, during the Review Period:</w:t>
      </w:r>
    </w:p>
    <w:p w:rsidR="00140E31" w:rsidRPr="007430E0" w:rsidRDefault="008C0F5D" w:rsidP="00140E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430E0">
        <w:rPr>
          <w:rFonts w:ascii="Times New Roman" w:hAnsi="Times New Roman" w:cs="Times New Roman"/>
          <w:sz w:val="20"/>
          <w:szCs w:val="20"/>
        </w:rPr>
        <w:t>The listed entity has complied with the provisions of the above Regulations and circulars/ guidelines issued there</w:t>
      </w:r>
      <w:r w:rsidR="00785A05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Pr="007430E0">
        <w:rPr>
          <w:rFonts w:ascii="Times New Roman" w:hAnsi="Times New Roman" w:cs="Times New Roman"/>
          <w:sz w:val="20"/>
          <w:szCs w:val="20"/>
        </w:rPr>
        <w:t>under</w:t>
      </w:r>
      <w:r w:rsidR="00140E31" w:rsidRPr="007430E0">
        <w:rPr>
          <w:rFonts w:ascii="Times New Roman" w:hAnsi="Times New Roman" w:cs="Times New Roman"/>
          <w:sz w:val="20"/>
          <w:szCs w:val="20"/>
        </w:rPr>
        <w:t>;</w:t>
      </w:r>
      <w:r w:rsidR="00F30873" w:rsidRPr="007430E0">
        <w:rPr>
          <w:rFonts w:ascii="Times New Roman" w:hAnsi="Times New Roman" w:cs="Times New Roman"/>
          <w:sz w:val="20"/>
          <w:szCs w:val="20"/>
        </w:rPr>
        <w:t xml:space="preserve"> except in respect of matters specified below:-</w:t>
      </w:r>
    </w:p>
    <w:p w:rsidR="0002498A" w:rsidRPr="007430E0" w:rsidRDefault="0002498A" w:rsidP="0002498A">
      <w:pPr>
        <w:pStyle w:val="ListParagraph"/>
        <w:ind w:left="76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92"/>
        <w:gridCol w:w="2098"/>
        <w:gridCol w:w="2208"/>
        <w:gridCol w:w="4262"/>
      </w:tblGrid>
      <w:tr w:rsidR="00C67D1E" w:rsidRPr="007430E0" w:rsidTr="00894B8E">
        <w:tc>
          <w:tcPr>
            <w:tcW w:w="792" w:type="dxa"/>
          </w:tcPr>
          <w:p w:rsidR="00C67D1E" w:rsidRPr="007430E0" w:rsidRDefault="00C67D1E" w:rsidP="00244B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2098" w:type="dxa"/>
          </w:tcPr>
          <w:p w:rsidR="00C67D1E" w:rsidRPr="007430E0" w:rsidRDefault="00C67D1E" w:rsidP="00244B3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7430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Compliance Requirement (Regulations/ circulars / guidelines including specific clause) </w:t>
            </w:r>
          </w:p>
        </w:tc>
        <w:tc>
          <w:tcPr>
            <w:tcW w:w="2208" w:type="dxa"/>
          </w:tcPr>
          <w:p w:rsidR="00C67D1E" w:rsidRPr="007430E0" w:rsidRDefault="00C67D1E" w:rsidP="00244B36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Deviations</w:t>
            </w:r>
            <w:r w:rsidRPr="00743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67D1E" w:rsidRPr="007430E0" w:rsidRDefault="00C67D1E" w:rsidP="00244B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2" w:type="dxa"/>
          </w:tcPr>
          <w:p w:rsidR="00C67D1E" w:rsidRPr="007430E0" w:rsidRDefault="00C67D1E" w:rsidP="00244B3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Observations/ Remarks of the Practicing Company Secretary </w:t>
            </w:r>
          </w:p>
        </w:tc>
      </w:tr>
      <w:tr w:rsidR="00E871A4" w:rsidRPr="007430E0" w:rsidTr="00894B8E">
        <w:trPr>
          <w:trHeight w:val="313"/>
        </w:trPr>
        <w:tc>
          <w:tcPr>
            <w:tcW w:w="792" w:type="dxa"/>
          </w:tcPr>
          <w:p w:rsidR="00E871A4" w:rsidRPr="007430E0" w:rsidRDefault="00E871A4" w:rsidP="00C712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E871A4" w:rsidRDefault="00E871A4" w:rsidP="00E871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>Regulation 13(3) of SEBI (Listing Obligations And Disclosure Requirements) Regulations, 2015</w:t>
            </w:r>
          </w:p>
          <w:p w:rsidR="00D8087A" w:rsidRPr="007430E0" w:rsidRDefault="00D8087A" w:rsidP="00E871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08" w:type="dxa"/>
          </w:tcPr>
          <w:p w:rsidR="00E871A4" w:rsidRPr="00E871A4" w:rsidRDefault="00E871A4" w:rsidP="002536B5">
            <w:pPr>
              <w:pStyle w:val="ListParagraph"/>
              <w:numPr>
                <w:ilvl w:val="0"/>
                <w:numId w:val="6"/>
              </w:numPr>
              <w:ind w:left="218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>Late submission of Statement of investor complaints for the quarter ended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4262" w:type="dxa"/>
          </w:tcPr>
          <w:p w:rsidR="00E871A4" w:rsidRPr="00E871A4" w:rsidRDefault="00E871A4" w:rsidP="00E871A4">
            <w:pPr>
              <w:pStyle w:val="ListParagraph"/>
              <w:numPr>
                <w:ilvl w:val="0"/>
                <w:numId w:val="6"/>
              </w:numPr>
              <w:ind w:left="263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The Listed Entity has submitted its </w:t>
            </w:r>
            <w:r w:rsidR="00AF5E13" w:rsidRPr="00E871A4">
              <w:rPr>
                <w:rFonts w:ascii="Times New Roman" w:hAnsi="Times New Roman" w:cs="Times New Roman"/>
                <w:sz w:val="20"/>
                <w:szCs w:val="20"/>
              </w:rPr>
              <w:t>Statement of investor complaints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for the quarter ended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71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2020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71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July, 2020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which was required to be filed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871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July, 2020.</w:t>
            </w:r>
          </w:p>
        </w:tc>
      </w:tr>
      <w:tr w:rsidR="00D8087A" w:rsidRPr="007430E0" w:rsidTr="00894B8E">
        <w:trPr>
          <w:trHeight w:val="313"/>
        </w:trPr>
        <w:tc>
          <w:tcPr>
            <w:tcW w:w="792" w:type="dxa"/>
          </w:tcPr>
          <w:p w:rsidR="00D8087A" w:rsidRPr="007430E0" w:rsidRDefault="00D8087A" w:rsidP="00C712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AF5E13" w:rsidRDefault="00AF5E13" w:rsidP="00AF5E1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Regulation 31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of SEBI (Listing Obligations And Disclosure Requirements) Regulations, 2015</w:t>
            </w:r>
          </w:p>
          <w:p w:rsidR="00D8087A" w:rsidRPr="00E871A4" w:rsidRDefault="00D8087A" w:rsidP="00E871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D8087A" w:rsidRDefault="00AF5E13" w:rsidP="00AF5E13">
            <w:pPr>
              <w:pStyle w:val="ListParagraph"/>
              <w:numPr>
                <w:ilvl w:val="0"/>
                <w:numId w:val="6"/>
              </w:numPr>
              <w:ind w:left="218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Late submission of Statement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shareholding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pattern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for the quarter ended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 2020 and September 2020</w:t>
            </w:r>
          </w:p>
          <w:p w:rsidR="00AF5E13" w:rsidRPr="00E871A4" w:rsidRDefault="00AF5E13" w:rsidP="00AF5E13">
            <w:pPr>
              <w:pStyle w:val="ListParagraph"/>
              <w:ind w:left="2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dxa"/>
          </w:tcPr>
          <w:p w:rsidR="00D8087A" w:rsidRDefault="00AF5E13" w:rsidP="00E871A4">
            <w:pPr>
              <w:pStyle w:val="ListParagraph"/>
              <w:numPr>
                <w:ilvl w:val="0"/>
                <w:numId w:val="6"/>
              </w:numPr>
              <w:ind w:left="263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The Listed Entity has submitted its Statement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shareholding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pattern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for the quarter ended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71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2020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71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July, 2020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which was required to be filed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871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July, 2020.</w:t>
            </w:r>
          </w:p>
          <w:p w:rsidR="00AF5E13" w:rsidRDefault="00AF5E13" w:rsidP="00AF5E13">
            <w:pPr>
              <w:pStyle w:val="ListParagraph"/>
              <w:ind w:left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13" w:rsidRPr="00AF5E13" w:rsidRDefault="00AF5E13" w:rsidP="00AF5E13">
            <w:pPr>
              <w:pStyle w:val="ListParagraph"/>
              <w:numPr>
                <w:ilvl w:val="0"/>
                <w:numId w:val="7"/>
              </w:numPr>
              <w:ind w:left="263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Statement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shareholding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pattern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for the quarter ended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5E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September, 2020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filed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871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July, 2020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which was filed later on by the Company as Revised 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Statement 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5E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November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as Re-revised 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>Statement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20</w:t>
            </w:r>
            <w:r w:rsidRPr="00AF5E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January, 2021.</w:t>
            </w:r>
          </w:p>
          <w:p w:rsidR="00AF5E13" w:rsidRPr="00AF5E13" w:rsidRDefault="00AF5E13" w:rsidP="00AF5E13">
            <w:pPr>
              <w:pStyle w:val="ListParagraph"/>
              <w:ind w:left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7A" w:rsidRPr="007430E0" w:rsidTr="00894B8E">
        <w:trPr>
          <w:trHeight w:val="313"/>
        </w:trPr>
        <w:tc>
          <w:tcPr>
            <w:tcW w:w="792" w:type="dxa"/>
          </w:tcPr>
          <w:p w:rsidR="00D8087A" w:rsidRPr="007430E0" w:rsidRDefault="00D8087A" w:rsidP="00C712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D8087A" w:rsidRDefault="00441B1F" w:rsidP="00E871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>Regulation 33 of  SEBI (Listing Obligations And Disclosure Requirements) Regulations, 2015</w:t>
            </w:r>
          </w:p>
          <w:p w:rsidR="00441B1F" w:rsidRPr="00E871A4" w:rsidRDefault="00441B1F" w:rsidP="00E871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441B1F" w:rsidRPr="00E871A4" w:rsidRDefault="00441B1F" w:rsidP="00DB7C6E">
            <w:pPr>
              <w:pStyle w:val="ListParagraph"/>
              <w:numPr>
                <w:ilvl w:val="0"/>
                <w:numId w:val="7"/>
              </w:numPr>
              <w:ind w:left="24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Late submission of Financial Results for the quarter ended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December 2020</w:t>
            </w:r>
          </w:p>
        </w:tc>
        <w:tc>
          <w:tcPr>
            <w:tcW w:w="4262" w:type="dxa"/>
          </w:tcPr>
          <w:p w:rsidR="00441B1F" w:rsidRPr="00441B1F" w:rsidRDefault="00441B1F" w:rsidP="00441B1F">
            <w:pPr>
              <w:pStyle w:val="ListParagraph"/>
              <w:ind w:left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B1F" w:rsidRPr="00441B1F" w:rsidRDefault="00441B1F" w:rsidP="00441B1F">
            <w:pPr>
              <w:pStyle w:val="ListParagraph"/>
              <w:numPr>
                <w:ilvl w:val="0"/>
                <w:numId w:val="7"/>
              </w:numPr>
              <w:ind w:left="263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>Financial Results for the quarter ended 31</w:t>
            </w:r>
            <w:r w:rsidRPr="00441B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December, 2020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were filed on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1B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February, 2020 which was filed later on by the Company as Revised Financial Results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41B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February,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as Re-revised 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>Statement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20</w:t>
            </w:r>
            <w:r w:rsidRPr="00441B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February, 2021.</w:t>
            </w:r>
          </w:p>
          <w:p w:rsidR="00D8087A" w:rsidRPr="00E871A4" w:rsidRDefault="00D8087A" w:rsidP="00441B1F">
            <w:pPr>
              <w:pStyle w:val="ListParagraph"/>
              <w:ind w:left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7A" w:rsidRPr="007430E0" w:rsidTr="00894B8E">
        <w:trPr>
          <w:trHeight w:val="313"/>
        </w:trPr>
        <w:tc>
          <w:tcPr>
            <w:tcW w:w="792" w:type="dxa"/>
          </w:tcPr>
          <w:p w:rsidR="00D8087A" w:rsidRPr="007430E0" w:rsidRDefault="00D8087A" w:rsidP="00C712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817899" w:rsidRDefault="00817899" w:rsidP="008178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Regulation 76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of  SEBI (</w:t>
            </w:r>
            <w:r w:rsidRPr="00817899">
              <w:rPr>
                <w:rFonts w:ascii="Times New Roman" w:hAnsi="Times New Roman" w:cs="Times New Roman"/>
                <w:sz w:val="20"/>
                <w:szCs w:val="20"/>
              </w:rPr>
              <w:t>Depositories and Participants</w:t>
            </w:r>
            <w:r w:rsidR="000D1577">
              <w:rPr>
                <w:rFonts w:ascii="Times New Roman" w:hAnsi="Times New Roman" w:cs="Times New Roman"/>
                <w:sz w:val="20"/>
                <w:szCs w:val="20"/>
              </w:rPr>
              <w:t>) Regulations, 2018</w:t>
            </w:r>
          </w:p>
          <w:p w:rsidR="00D8087A" w:rsidRPr="00E871A4" w:rsidRDefault="00D8087A" w:rsidP="00E871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D8087A" w:rsidRDefault="00926FE9" w:rsidP="002536B5">
            <w:pPr>
              <w:pStyle w:val="ListParagraph"/>
              <w:numPr>
                <w:ilvl w:val="0"/>
                <w:numId w:val="6"/>
              </w:numPr>
              <w:ind w:left="218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Late submission of </w:t>
            </w:r>
            <w:r w:rsidRPr="00926FE9">
              <w:rPr>
                <w:rFonts w:ascii="Times New Roman" w:hAnsi="Times New Roman" w:cs="Times New Roman"/>
                <w:sz w:val="20"/>
                <w:szCs w:val="20"/>
              </w:rPr>
              <w:t xml:space="preserve">Reconciliation of Share Capital Audit Report 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for the quarter ended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June 2020 and September 2020</w:t>
            </w:r>
          </w:p>
          <w:p w:rsidR="00926FE9" w:rsidRPr="00E871A4" w:rsidRDefault="00926FE9" w:rsidP="00926FE9">
            <w:pPr>
              <w:pStyle w:val="ListParagraph"/>
              <w:ind w:left="2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dxa"/>
          </w:tcPr>
          <w:p w:rsidR="00926FE9" w:rsidRPr="00926FE9" w:rsidRDefault="00926FE9" w:rsidP="00926FE9">
            <w:pPr>
              <w:pStyle w:val="ListParagraph"/>
              <w:numPr>
                <w:ilvl w:val="0"/>
                <w:numId w:val="6"/>
              </w:numPr>
              <w:ind w:left="263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The Listed Entity has submitted its </w:t>
            </w:r>
            <w:r w:rsidRPr="00926FE9">
              <w:rPr>
                <w:rFonts w:ascii="Times New Roman" w:hAnsi="Times New Roman" w:cs="Times New Roman"/>
                <w:sz w:val="20"/>
                <w:szCs w:val="20"/>
              </w:rPr>
              <w:t>Reconciliation of Share Capital Audit Report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for the quarter ended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71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2020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26F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August, 2020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which was required to be filed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26F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26FE9">
              <w:rPr>
                <w:rFonts w:ascii="Times New Roman" w:hAnsi="Times New Roman" w:cs="Times New Roman"/>
                <w:sz w:val="20"/>
                <w:szCs w:val="20"/>
              </w:rPr>
              <w:t xml:space="preserve"> July, 2020.</w:t>
            </w:r>
          </w:p>
          <w:p w:rsidR="00926FE9" w:rsidRDefault="00926FE9" w:rsidP="00926FE9">
            <w:pPr>
              <w:pStyle w:val="ListParagraph"/>
              <w:ind w:left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FE9" w:rsidRPr="00AF5E13" w:rsidRDefault="00926FE9" w:rsidP="00926FE9">
            <w:pPr>
              <w:pStyle w:val="ListParagraph"/>
              <w:numPr>
                <w:ilvl w:val="0"/>
                <w:numId w:val="7"/>
              </w:numPr>
              <w:ind w:left="263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FE9">
              <w:rPr>
                <w:rFonts w:ascii="Times New Roman" w:hAnsi="Times New Roman" w:cs="Times New Roman"/>
                <w:sz w:val="20"/>
                <w:szCs w:val="20"/>
              </w:rPr>
              <w:t>Reconciliation of Share Capital Audit Report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for the quarter ended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5E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September, 2020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filed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26F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E8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October, 2020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which was filed later on by the Company as Revised </w:t>
            </w:r>
            <w:r w:rsidRPr="00926FE9">
              <w:rPr>
                <w:rFonts w:ascii="Times New Roman" w:hAnsi="Times New Roman" w:cs="Times New Roman"/>
                <w:sz w:val="20"/>
                <w:szCs w:val="20"/>
              </w:rPr>
              <w:t>Reconciliation of Share Capital Audit Report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5E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November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087A" w:rsidRPr="00E871A4" w:rsidRDefault="00D8087A" w:rsidP="00926FE9">
            <w:pPr>
              <w:pStyle w:val="ListParagraph"/>
              <w:ind w:left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7A" w:rsidRPr="007430E0" w:rsidTr="00894B8E">
        <w:trPr>
          <w:trHeight w:val="313"/>
        </w:trPr>
        <w:tc>
          <w:tcPr>
            <w:tcW w:w="792" w:type="dxa"/>
          </w:tcPr>
          <w:p w:rsidR="00D8087A" w:rsidRPr="007430E0" w:rsidRDefault="00D8087A" w:rsidP="00C712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D8087A" w:rsidRDefault="001048A5" w:rsidP="00E871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Regulation 74(5)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of  SEBI (</w:t>
            </w:r>
            <w:r w:rsidRPr="00817899">
              <w:rPr>
                <w:rFonts w:ascii="Times New Roman" w:hAnsi="Times New Roman" w:cs="Times New Roman"/>
                <w:sz w:val="20"/>
                <w:szCs w:val="20"/>
              </w:rPr>
              <w:t>Depositories and Participants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Regulations, 2018</w:t>
            </w:r>
          </w:p>
          <w:p w:rsidR="001048A5" w:rsidRPr="00E871A4" w:rsidRDefault="001048A5" w:rsidP="00E871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D8087A" w:rsidRDefault="001048A5" w:rsidP="001656CE">
            <w:pPr>
              <w:pStyle w:val="ListParagraph"/>
              <w:numPr>
                <w:ilvl w:val="0"/>
                <w:numId w:val="7"/>
              </w:numPr>
              <w:ind w:left="2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submission of</w:t>
            </w:r>
            <w:r w:rsidR="001656CE">
              <w:t xml:space="preserve"> </w:t>
            </w:r>
            <w:r w:rsidR="001656CE" w:rsidRPr="001656CE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8A5">
              <w:rPr>
                <w:rFonts w:ascii="Times New Roman" w:hAnsi="Times New Roman" w:cs="Times New Roman"/>
                <w:sz w:val="20"/>
                <w:szCs w:val="20"/>
              </w:rPr>
              <w:t>under Regulations 74(5) of SEBI (Depositories &amp; Participants) Regulations, 2018 for the quarter ended 30th September, 2020</w:t>
            </w:r>
          </w:p>
          <w:p w:rsidR="001048A5" w:rsidRPr="00E871A4" w:rsidRDefault="001048A5" w:rsidP="001048A5">
            <w:pPr>
              <w:pStyle w:val="ListParagraph"/>
              <w:ind w:left="2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dxa"/>
          </w:tcPr>
          <w:p w:rsidR="001656CE" w:rsidRPr="00AF5E13" w:rsidRDefault="001656CE" w:rsidP="001656CE">
            <w:pPr>
              <w:pStyle w:val="ListParagraph"/>
              <w:numPr>
                <w:ilvl w:val="0"/>
                <w:numId w:val="7"/>
              </w:numPr>
              <w:ind w:left="263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Certificate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8A5">
              <w:rPr>
                <w:rFonts w:ascii="Times New Roman" w:hAnsi="Times New Roman" w:cs="Times New Roman"/>
                <w:sz w:val="20"/>
                <w:szCs w:val="20"/>
              </w:rPr>
              <w:t xml:space="preserve">under Regulations 74(5) of SEBI (Depositories &amp; Participants) Regulations, 2018 for the quarter ended 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5E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September, 2020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filed on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5E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2E9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which was filed later on by the Company as Revised </w:t>
            </w:r>
            <w:r w:rsidRPr="001656CE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8A5">
              <w:rPr>
                <w:rFonts w:ascii="Times New Roman" w:hAnsi="Times New Roman" w:cs="Times New Roman"/>
                <w:sz w:val="20"/>
                <w:szCs w:val="20"/>
              </w:rPr>
              <w:t>under Regulations 74(5) of SEBI (Depositories &amp; Participants) Regulations,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5E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November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087A" w:rsidRPr="00E871A4" w:rsidRDefault="00D8087A" w:rsidP="001656CE">
            <w:pPr>
              <w:pStyle w:val="ListParagraph"/>
              <w:ind w:left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E9" w:rsidRPr="007430E0" w:rsidTr="00894B8E">
        <w:trPr>
          <w:trHeight w:val="313"/>
        </w:trPr>
        <w:tc>
          <w:tcPr>
            <w:tcW w:w="792" w:type="dxa"/>
          </w:tcPr>
          <w:p w:rsidR="009932E9" w:rsidRPr="007430E0" w:rsidRDefault="009932E9" w:rsidP="00C712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9932E9" w:rsidRDefault="009932E9" w:rsidP="0043515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Regulation 7(3)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of  SEBI ((Listing Obligations And Disclosure Requirements) Regulations, 2015</w:t>
            </w:r>
          </w:p>
          <w:p w:rsidR="009932E9" w:rsidRPr="00E871A4" w:rsidRDefault="009932E9" w:rsidP="0043515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9932E9" w:rsidRPr="009932E9" w:rsidRDefault="009932E9" w:rsidP="009932E9">
            <w:pPr>
              <w:pStyle w:val="ListParagraph"/>
              <w:numPr>
                <w:ilvl w:val="0"/>
                <w:numId w:val="8"/>
              </w:numPr>
              <w:ind w:left="242" w:hanging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9932E9">
              <w:rPr>
                <w:rFonts w:ascii="Times New Roman" w:hAnsi="Times New Roman" w:cs="Times New Roman"/>
                <w:sz w:val="20"/>
                <w:szCs w:val="20"/>
              </w:rPr>
              <w:t>Revised submission of</w:t>
            </w:r>
            <w:r>
              <w:t xml:space="preserve"> </w:t>
            </w:r>
            <w:r w:rsidRPr="009932E9">
              <w:rPr>
                <w:rFonts w:ascii="Times New Roman" w:hAnsi="Times New Roman" w:cs="Times New Roman"/>
                <w:sz w:val="20"/>
                <w:szCs w:val="20"/>
              </w:rPr>
              <w:t>Compliance Certificate under Regulation 7(3) of the SEBI (Listing Obligatio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ns and Disclosure Requirements) Regulations, 2015</w:t>
            </w:r>
          </w:p>
          <w:p w:rsidR="009932E9" w:rsidRPr="009932E9" w:rsidRDefault="009932E9" w:rsidP="009932E9">
            <w:pPr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9932E9">
              <w:rPr>
                <w:rFonts w:ascii="Times New Roman" w:hAnsi="Times New Roman" w:cs="Times New Roman"/>
                <w:sz w:val="20"/>
                <w:szCs w:val="20"/>
              </w:rPr>
              <w:t>for the quarter ended 30th September, 2020</w:t>
            </w:r>
          </w:p>
          <w:p w:rsidR="009932E9" w:rsidRPr="00E871A4" w:rsidRDefault="009932E9" w:rsidP="00435158">
            <w:pPr>
              <w:pStyle w:val="ListParagraph"/>
              <w:ind w:left="2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dxa"/>
          </w:tcPr>
          <w:p w:rsidR="009932E9" w:rsidRPr="00AF5E13" w:rsidRDefault="009932E9" w:rsidP="00435158">
            <w:pPr>
              <w:pStyle w:val="ListParagraph"/>
              <w:numPr>
                <w:ilvl w:val="0"/>
                <w:numId w:val="7"/>
              </w:numPr>
              <w:ind w:left="263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CE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8A5">
              <w:rPr>
                <w:rFonts w:ascii="Times New Roman" w:hAnsi="Times New Roman" w:cs="Times New Roman"/>
                <w:sz w:val="20"/>
                <w:szCs w:val="20"/>
              </w:rPr>
              <w:t xml:space="preserve">under Regulations </w:t>
            </w:r>
            <w:r w:rsidRPr="009932E9">
              <w:rPr>
                <w:rFonts w:ascii="Times New Roman" w:hAnsi="Times New Roman" w:cs="Times New Roman"/>
                <w:sz w:val="20"/>
                <w:szCs w:val="20"/>
              </w:rPr>
              <w:t>7(3) of the SEBI (Listing Obligatio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ns and Disclosure Requirements) </w:t>
            </w:r>
            <w:r w:rsidRPr="009932E9">
              <w:rPr>
                <w:rFonts w:ascii="Times New Roman" w:hAnsi="Times New Roman" w:cs="Times New Roman"/>
                <w:sz w:val="20"/>
                <w:szCs w:val="20"/>
              </w:rPr>
              <w:t>Regulations,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8A5">
              <w:rPr>
                <w:rFonts w:ascii="Times New Roman" w:hAnsi="Times New Roman" w:cs="Times New Roman"/>
                <w:sz w:val="20"/>
                <w:szCs w:val="20"/>
              </w:rPr>
              <w:t xml:space="preserve">for the quarter ended 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5E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September, 2020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filed on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5E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October, 2020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 which was filed later on by the Company as Revised </w:t>
            </w:r>
            <w:r w:rsidRPr="001656CE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8A5">
              <w:rPr>
                <w:rFonts w:ascii="Times New Roman" w:hAnsi="Times New Roman" w:cs="Times New Roman"/>
                <w:sz w:val="20"/>
                <w:szCs w:val="20"/>
              </w:rPr>
              <w:t xml:space="preserve">under Regulations </w:t>
            </w:r>
            <w:r w:rsidRPr="009932E9">
              <w:rPr>
                <w:rFonts w:ascii="Times New Roman" w:hAnsi="Times New Roman" w:cs="Times New Roman"/>
                <w:sz w:val="20"/>
                <w:szCs w:val="20"/>
              </w:rPr>
              <w:t>7(3) of the SEBI (Listing Obligatio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ns and Disclosure Requirements) </w:t>
            </w:r>
            <w:r w:rsidRPr="009932E9">
              <w:rPr>
                <w:rFonts w:ascii="Times New Roman" w:hAnsi="Times New Roman" w:cs="Times New Roman"/>
                <w:sz w:val="20"/>
                <w:szCs w:val="20"/>
              </w:rPr>
              <w:t>Regulations,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5E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November</w:t>
            </w:r>
            <w:r w:rsidRPr="00AF5E13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32E9" w:rsidRPr="00E871A4" w:rsidRDefault="009932E9" w:rsidP="00435158">
            <w:pPr>
              <w:pStyle w:val="ListParagraph"/>
              <w:ind w:left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7A" w:rsidRPr="007430E0" w:rsidTr="00894B8E">
        <w:trPr>
          <w:trHeight w:val="313"/>
        </w:trPr>
        <w:tc>
          <w:tcPr>
            <w:tcW w:w="792" w:type="dxa"/>
          </w:tcPr>
          <w:p w:rsidR="00D8087A" w:rsidRPr="007430E0" w:rsidRDefault="00D8087A" w:rsidP="00C712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D8087A" w:rsidRDefault="006C3657" w:rsidP="00E871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657">
              <w:rPr>
                <w:rFonts w:ascii="Times New Roman" w:hAnsi="Times New Roman" w:cs="Times New Roman"/>
                <w:sz w:val="20"/>
                <w:szCs w:val="20"/>
              </w:rPr>
              <w:t>Regulation 30(1) and 30 (2) of SEBI (Substantial Acquisition of Shares and Takeovers) Regulations, 2011</w:t>
            </w:r>
          </w:p>
          <w:p w:rsidR="006C3657" w:rsidRPr="00E871A4" w:rsidRDefault="006C3657" w:rsidP="00E871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D8087A" w:rsidRDefault="006C3657" w:rsidP="002536B5">
            <w:pPr>
              <w:pStyle w:val="ListParagraph"/>
              <w:numPr>
                <w:ilvl w:val="0"/>
                <w:numId w:val="6"/>
              </w:numPr>
              <w:ind w:left="218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Late </w:t>
            </w:r>
            <w:r w:rsidRPr="00D60E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submission</w:t>
            </w:r>
            <w:r w:rsidRPr="00441B1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6C3657">
              <w:rPr>
                <w:rFonts w:ascii="Times New Roman" w:hAnsi="Times New Roman" w:cs="Times New Roman"/>
                <w:sz w:val="20"/>
                <w:szCs w:val="20"/>
              </w:rPr>
              <w:t>Regulation 30(1) and 30 (2) of SEBI (Substantial Acquisition of Shares and Takeovers) Regulations, 2011</w:t>
            </w:r>
          </w:p>
          <w:p w:rsidR="00D60EFB" w:rsidRPr="00E871A4" w:rsidRDefault="00D60EFB" w:rsidP="00D60EFB">
            <w:pPr>
              <w:pStyle w:val="ListParagraph"/>
              <w:ind w:left="2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dxa"/>
          </w:tcPr>
          <w:p w:rsidR="00D8087A" w:rsidRPr="00E871A4" w:rsidRDefault="00D8087A" w:rsidP="00E871A4">
            <w:pPr>
              <w:pStyle w:val="ListParagraph"/>
              <w:numPr>
                <w:ilvl w:val="0"/>
                <w:numId w:val="6"/>
              </w:numPr>
              <w:ind w:left="263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71A4" w:rsidRDefault="00E871A4" w:rsidP="00E871A4">
      <w:pPr>
        <w:pStyle w:val="ListParagraph"/>
        <w:ind w:left="765"/>
        <w:jc w:val="both"/>
        <w:rPr>
          <w:rFonts w:ascii="Times New Roman" w:hAnsi="Times New Roman" w:cs="Times New Roman"/>
          <w:sz w:val="20"/>
          <w:szCs w:val="20"/>
        </w:rPr>
      </w:pPr>
    </w:p>
    <w:p w:rsidR="008C0F5D" w:rsidRPr="00E871A4" w:rsidRDefault="008C0F5D" w:rsidP="00E871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871A4">
        <w:rPr>
          <w:rFonts w:ascii="Times New Roman" w:hAnsi="Times New Roman" w:cs="Times New Roman"/>
          <w:sz w:val="20"/>
          <w:szCs w:val="20"/>
        </w:rPr>
        <w:t>The listed entity has maintained proper records under the provisions of the above Regulations and circulars/ guidelines issued there</w:t>
      </w:r>
      <w:r w:rsidR="001D118E" w:rsidRPr="00E871A4">
        <w:rPr>
          <w:rFonts w:ascii="Times New Roman" w:hAnsi="Times New Roman" w:cs="Times New Roman"/>
          <w:sz w:val="20"/>
          <w:szCs w:val="20"/>
        </w:rPr>
        <w:t xml:space="preserve"> </w:t>
      </w:r>
      <w:r w:rsidRPr="00E871A4">
        <w:rPr>
          <w:rFonts w:ascii="Times New Roman" w:hAnsi="Times New Roman" w:cs="Times New Roman"/>
          <w:sz w:val="20"/>
          <w:szCs w:val="20"/>
        </w:rPr>
        <w:t>under insofar as it appears from my/our examination of those records.</w:t>
      </w:r>
    </w:p>
    <w:p w:rsidR="00D467F7" w:rsidRPr="007430E0" w:rsidRDefault="00D467F7" w:rsidP="00D467F7">
      <w:pPr>
        <w:pStyle w:val="ListParagraph"/>
        <w:ind w:left="765"/>
        <w:jc w:val="both"/>
        <w:rPr>
          <w:rFonts w:ascii="Times New Roman" w:hAnsi="Times New Roman" w:cs="Times New Roman"/>
          <w:sz w:val="20"/>
          <w:szCs w:val="20"/>
        </w:rPr>
      </w:pPr>
    </w:p>
    <w:p w:rsidR="008C0F5D" w:rsidRPr="007430E0" w:rsidRDefault="008C0F5D" w:rsidP="00D467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430E0">
        <w:rPr>
          <w:rFonts w:ascii="Times New Roman" w:hAnsi="Times New Roman" w:cs="Times New Roman"/>
          <w:sz w:val="20"/>
          <w:szCs w:val="20"/>
        </w:rPr>
        <w:t>The following are the details of actions taken against the listed entity/ its promoters/ directors/ material subsidiaries either by SEBI or by Stock Exchanges (including under the Standard Operating Procedures issued by SEBI through various circulars) under the aforesaid Acts/ Regulations and circulars/ guidelines issued there</w:t>
      </w:r>
      <w:r w:rsidR="00785A05" w:rsidRPr="007430E0">
        <w:rPr>
          <w:rFonts w:ascii="Times New Roman" w:hAnsi="Times New Roman" w:cs="Times New Roman"/>
          <w:sz w:val="20"/>
          <w:szCs w:val="20"/>
        </w:rPr>
        <w:t xml:space="preserve"> </w:t>
      </w:r>
      <w:r w:rsidRPr="007430E0">
        <w:rPr>
          <w:rFonts w:ascii="Times New Roman" w:hAnsi="Times New Roman" w:cs="Times New Roman"/>
          <w:sz w:val="20"/>
          <w:szCs w:val="20"/>
        </w:rPr>
        <w:t>under:</w:t>
      </w:r>
    </w:p>
    <w:p w:rsidR="0002498A" w:rsidRPr="007430E0" w:rsidRDefault="0002498A" w:rsidP="0002498A">
      <w:pPr>
        <w:pStyle w:val="ListParagraph"/>
        <w:ind w:left="76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10"/>
        <w:gridCol w:w="2025"/>
        <w:gridCol w:w="2410"/>
        <w:gridCol w:w="2268"/>
        <w:gridCol w:w="1955"/>
      </w:tblGrid>
      <w:tr w:rsidR="008C0F5D" w:rsidRPr="007430E0" w:rsidTr="0036453A">
        <w:tc>
          <w:tcPr>
            <w:tcW w:w="810" w:type="dxa"/>
          </w:tcPr>
          <w:p w:rsidR="001D3F72" w:rsidRPr="007430E0" w:rsidRDefault="001D118E" w:rsidP="008C0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S. </w:t>
            </w:r>
          </w:p>
          <w:p w:rsidR="008C0F5D" w:rsidRPr="007430E0" w:rsidRDefault="001D118E" w:rsidP="008C0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025" w:type="dxa"/>
          </w:tcPr>
          <w:p w:rsidR="008C0F5D" w:rsidRPr="007430E0" w:rsidRDefault="001D118E" w:rsidP="001D118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>Action</w:t>
            </w:r>
            <w:r w:rsidRPr="00743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taken by </w:t>
            </w:r>
          </w:p>
        </w:tc>
        <w:tc>
          <w:tcPr>
            <w:tcW w:w="2410" w:type="dxa"/>
          </w:tcPr>
          <w:p w:rsidR="008C0F5D" w:rsidRPr="007430E0" w:rsidRDefault="001D118E" w:rsidP="001D118E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>Details of violation</w:t>
            </w:r>
          </w:p>
        </w:tc>
        <w:tc>
          <w:tcPr>
            <w:tcW w:w="2268" w:type="dxa"/>
          </w:tcPr>
          <w:p w:rsidR="008C0F5D" w:rsidRPr="007430E0" w:rsidRDefault="001D118E" w:rsidP="001D118E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Details of action taken E.g. fines, warning letter, debarment, etc. </w:t>
            </w:r>
          </w:p>
        </w:tc>
        <w:tc>
          <w:tcPr>
            <w:tcW w:w="1955" w:type="dxa"/>
          </w:tcPr>
          <w:p w:rsidR="008C0F5D" w:rsidRPr="007430E0" w:rsidRDefault="001D118E" w:rsidP="001D118E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Observations/ remarks of the Practicing Company Secretary, if any </w:t>
            </w:r>
          </w:p>
        </w:tc>
      </w:tr>
      <w:tr w:rsidR="008C0F5D" w:rsidRPr="007430E0" w:rsidTr="0036453A">
        <w:tc>
          <w:tcPr>
            <w:tcW w:w="810" w:type="dxa"/>
          </w:tcPr>
          <w:p w:rsidR="008C0F5D" w:rsidRPr="007430E0" w:rsidRDefault="0036021E" w:rsidP="008C0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5" w:type="dxa"/>
          </w:tcPr>
          <w:p w:rsidR="008C0F5D" w:rsidRPr="007430E0" w:rsidRDefault="0036021E" w:rsidP="008C0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sz w:val="20"/>
                <w:szCs w:val="20"/>
              </w:rPr>
              <w:t>Bombay Stock Exchange</w:t>
            </w:r>
            <w:r w:rsidR="00C8747C" w:rsidRPr="007430E0">
              <w:rPr>
                <w:rFonts w:ascii="Times New Roman" w:hAnsi="Times New Roman" w:cs="Times New Roman"/>
                <w:sz w:val="20"/>
                <w:szCs w:val="20"/>
              </w:rPr>
              <w:t xml:space="preserve"> Limited.</w:t>
            </w:r>
          </w:p>
        </w:tc>
        <w:tc>
          <w:tcPr>
            <w:tcW w:w="2410" w:type="dxa"/>
          </w:tcPr>
          <w:p w:rsidR="008C0F5D" w:rsidRPr="007430E0" w:rsidRDefault="00303A23" w:rsidP="00377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sz w:val="20"/>
                <w:szCs w:val="20"/>
              </w:rPr>
              <w:t xml:space="preserve">Late submission of Financial Results along with </w:t>
            </w:r>
            <w:r w:rsidR="000035E1" w:rsidRPr="007430E0">
              <w:rPr>
                <w:rFonts w:ascii="Times New Roman" w:hAnsi="Times New Roman" w:cs="Times New Roman"/>
                <w:sz w:val="20"/>
                <w:szCs w:val="20"/>
              </w:rPr>
              <w:t>Auditor’s Report</w:t>
            </w:r>
            <w:r w:rsidRPr="007430E0">
              <w:rPr>
                <w:rFonts w:ascii="Times New Roman" w:hAnsi="Times New Roman" w:cs="Times New Roman"/>
                <w:sz w:val="20"/>
                <w:szCs w:val="20"/>
              </w:rPr>
              <w:t xml:space="preserve"> under Regulation 33 (3) (d) for the quarter ended </w:t>
            </w:r>
            <w:r w:rsidR="00CC4677" w:rsidRPr="007430E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C4677" w:rsidRPr="007430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CC4677" w:rsidRPr="007430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30E0">
              <w:rPr>
                <w:rFonts w:ascii="Times New Roman" w:hAnsi="Times New Roman" w:cs="Times New Roman"/>
                <w:sz w:val="20"/>
                <w:szCs w:val="20"/>
              </w:rPr>
              <w:t xml:space="preserve">March 2019 and failure to submit prior intimation of Board Meeting to stock exchange under Regulation 29(2) for the </w:t>
            </w:r>
            <w:r w:rsidR="000035E1" w:rsidRPr="007430E0">
              <w:rPr>
                <w:rFonts w:ascii="Times New Roman" w:hAnsi="Times New Roman" w:cs="Times New Roman"/>
                <w:sz w:val="20"/>
                <w:szCs w:val="20"/>
              </w:rPr>
              <w:t>Board Meeting</w:t>
            </w:r>
            <w:r w:rsidRPr="007430E0">
              <w:rPr>
                <w:rFonts w:ascii="Times New Roman" w:hAnsi="Times New Roman" w:cs="Times New Roman"/>
                <w:sz w:val="20"/>
                <w:szCs w:val="20"/>
              </w:rPr>
              <w:t xml:space="preserve"> held on 14/11/2019  </w:t>
            </w:r>
          </w:p>
        </w:tc>
        <w:tc>
          <w:tcPr>
            <w:tcW w:w="2268" w:type="dxa"/>
          </w:tcPr>
          <w:p w:rsidR="008C0F5D" w:rsidRPr="007430E0" w:rsidRDefault="00303A23" w:rsidP="00377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sz w:val="20"/>
                <w:szCs w:val="20"/>
              </w:rPr>
              <w:t>Basic Fine of Rs. 3,45,000/- levied for violating the provisions of Regulation 33 (3) (d) and Basic Fine of Rs. Rs. 10,000/-  levied for violating the</w:t>
            </w:r>
            <w:r w:rsidR="00D859BE" w:rsidRPr="007430E0">
              <w:rPr>
                <w:rFonts w:ascii="Times New Roman" w:hAnsi="Times New Roman" w:cs="Times New Roman"/>
                <w:sz w:val="20"/>
                <w:szCs w:val="20"/>
              </w:rPr>
              <w:t xml:space="preserve"> provisions of Regulation 29(2).</w:t>
            </w:r>
            <w:r w:rsidRPr="00743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</w:tcPr>
          <w:p w:rsidR="008C0F5D" w:rsidRPr="007430E0" w:rsidRDefault="0036453A" w:rsidP="00743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sz w:val="20"/>
                <w:szCs w:val="20"/>
              </w:rPr>
              <w:t>The Listed entity</w:t>
            </w:r>
            <w:r w:rsidR="000035E1" w:rsidRPr="007430E0">
              <w:rPr>
                <w:rFonts w:ascii="Times New Roman" w:hAnsi="Times New Roman" w:cs="Times New Roman"/>
                <w:sz w:val="20"/>
                <w:szCs w:val="20"/>
              </w:rPr>
              <w:t xml:space="preserve"> shall be applying for the waiver of such fines imposed on it</w:t>
            </w:r>
            <w:r w:rsidR="007430E0" w:rsidRPr="007430E0">
              <w:rPr>
                <w:rFonts w:ascii="Times New Roman" w:hAnsi="Times New Roman" w:cs="Times New Roman"/>
                <w:sz w:val="20"/>
                <w:szCs w:val="20"/>
              </w:rPr>
              <w:t>. It</w:t>
            </w:r>
            <w:r w:rsidR="000035E1" w:rsidRPr="00743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0E0" w:rsidRPr="007430E0">
              <w:rPr>
                <w:rFonts w:ascii="Times New Roman" w:hAnsi="Times New Roman" w:cs="Times New Roman"/>
                <w:sz w:val="20"/>
                <w:szCs w:val="20"/>
              </w:rPr>
              <w:t>has made payment of some of the amount and will be</w:t>
            </w:r>
            <w:r w:rsidR="000035E1" w:rsidRPr="007430E0">
              <w:rPr>
                <w:rFonts w:ascii="Times New Roman" w:hAnsi="Times New Roman" w:cs="Times New Roman"/>
                <w:sz w:val="20"/>
                <w:szCs w:val="20"/>
              </w:rPr>
              <w:t xml:space="preserve"> making payment of rest of the amount</w:t>
            </w:r>
            <w:r w:rsidR="0036021E" w:rsidRPr="00743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2498A" w:rsidRPr="007430E0" w:rsidRDefault="0002498A" w:rsidP="0002498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C0F5D" w:rsidRPr="007430E0" w:rsidRDefault="008220A7" w:rsidP="008220A7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430E0">
        <w:rPr>
          <w:rFonts w:ascii="Times New Roman" w:hAnsi="Times New Roman" w:cs="Times New Roman"/>
          <w:color w:val="000000"/>
          <w:sz w:val="20"/>
          <w:szCs w:val="20"/>
        </w:rPr>
        <w:t xml:space="preserve">(d) </w:t>
      </w:r>
      <w:r w:rsidR="008C0F5D" w:rsidRPr="007430E0">
        <w:rPr>
          <w:rFonts w:ascii="Times New Roman" w:hAnsi="Times New Roman" w:cs="Times New Roman"/>
          <w:sz w:val="20"/>
          <w:szCs w:val="20"/>
        </w:rPr>
        <w:t xml:space="preserve">The listed entity has taken the following actions to comply with the observations made in previous reports: </w:t>
      </w:r>
    </w:p>
    <w:tbl>
      <w:tblPr>
        <w:tblStyle w:val="TableGrid"/>
        <w:tblW w:w="0" w:type="auto"/>
        <w:tblInd w:w="198" w:type="dxa"/>
        <w:tblLook w:val="04A0"/>
      </w:tblPr>
      <w:tblGrid>
        <w:gridCol w:w="720"/>
        <w:gridCol w:w="2451"/>
        <w:gridCol w:w="2409"/>
        <w:gridCol w:w="1882"/>
        <w:gridCol w:w="1916"/>
      </w:tblGrid>
      <w:tr w:rsidR="008C0F5D" w:rsidRPr="007430E0" w:rsidTr="0036453A">
        <w:tc>
          <w:tcPr>
            <w:tcW w:w="720" w:type="dxa"/>
          </w:tcPr>
          <w:p w:rsidR="008C0F5D" w:rsidRPr="007430E0" w:rsidRDefault="003D0CCB" w:rsidP="003D0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2451" w:type="dxa"/>
          </w:tcPr>
          <w:p w:rsidR="008C0F5D" w:rsidRPr="007430E0" w:rsidRDefault="003D0CCB" w:rsidP="003D0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Observations of the Practicing Company Secretary in the </w:t>
            </w:r>
            <w:r w:rsidRPr="006444A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previous reports </w:t>
            </w:r>
          </w:p>
        </w:tc>
        <w:tc>
          <w:tcPr>
            <w:tcW w:w="2409" w:type="dxa"/>
          </w:tcPr>
          <w:p w:rsidR="003D0CCB" w:rsidRPr="007430E0" w:rsidRDefault="003D0CCB" w:rsidP="003D0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Observations made in the </w:t>
            </w:r>
            <w:r w:rsidR="00A8602B"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>Secretarial Compliance Report</w:t>
            </w: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the year ended</w:t>
            </w:r>
            <w:r w:rsidR="001116FC"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</w:t>
            </w:r>
            <w:r w:rsidR="001116FC" w:rsidRPr="007430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="006444AF">
              <w:rPr>
                <w:rFonts w:ascii="Times New Roman" w:hAnsi="Times New Roman" w:cs="Times New Roman"/>
                <w:b/>
                <w:sz w:val="20"/>
                <w:szCs w:val="20"/>
              </w:rPr>
              <w:t>, March, 2020</w:t>
            </w:r>
            <w:r w:rsidR="001116FC"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C0F5D" w:rsidRPr="007430E0" w:rsidRDefault="003D0CCB" w:rsidP="003D0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(The years are to be mentioned) </w:t>
            </w:r>
          </w:p>
        </w:tc>
        <w:tc>
          <w:tcPr>
            <w:tcW w:w="1882" w:type="dxa"/>
          </w:tcPr>
          <w:p w:rsidR="008C0F5D" w:rsidRPr="007430E0" w:rsidRDefault="003D0CCB" w:rsidP="003D0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Actions taken by the listed entity, if any </w:t>
            </w:r>
          </w:p>
        </w:tc>
        <w:tc>
          <w:tcPr>
            <w:tcW w:w="1916" w:type="dxa"/>
          </w:tcPr>
          <w:p w:rsidR="008C0F5D" w:rsidRPr="007430E0" w:rsidRDefault="003D0CCB" w:rsidP="003D0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3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Comments of the Practicing Company Secretary on the actions taken by the listed entity </w:t>
            </w:r>
          </w:p>
        </w:tc>
      </w:tr>
      <w:tr w:rsidR="003B3D5E" w:rsidRPr="007430E0" w:rsidTr="0036453A">
        <w:tc>
          <w:tcPr>
            <w:tcW w:w="720" w:type="dxa"/>
          </w:tcPr>
          <w:p w:rsidR="003B3D5E" w:rsidRPr="007430E0" w:rsidRDefault="003B3D5E" w:rsidP="008C0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51" w:type="dxa"/>
          </w:tcPr>
          <w:p w:rsidR="003B3D5E" w:rsidRPr="007430E0" w:rsidRDefault="003B3D5E" w:rsidP="008C0F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30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Regulation 46 of SEBI (Listing Obligations And Disclosure Requirements) Regulations, 2015</w:t>
            </w:r>
          </w:p>
        </w:tc>
        <w:tc>
          <w:tcPr>
            <w:tcW w:w="2409" w:type="dxa"/>
          </w:tcPr>
          <w:p w:rsidR="003B3D5E" w:rsidRPr="007430E0" w:rsidRDefault="003B3D5E" w:rsidP="008C0F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30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Non- updation of website of the Company for the year ended 31</w:t>
            </w:r>
            <w:r w:rsidRPr="007430E0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st</w:t>
            </w:r>
            <w:r w:rsidRPr="007430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March, 2019</w:t>
            </w:r>
          </w:p>
        </w:tc>
        <w:tc>
          <w:tcPr>
            <w:tcW w:w="1882" w:type="dxa"/>
          </w:tcPr>
          <w:p w:rsidR="003B3D5E" w:rsidRPr="007430E0" w:rsidRDefault="003B3D5E" w:rsidP="006A06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30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The Listed entity has updated all the relevant details which is required to be disclosed on</w:t>
            </w:r>
          </w:p>
          <w:p w:rsidR="003B3D5E" w:rsidRPr="007430E0" w:rsidRDefault="003B3D5E" w:rsidP="006A06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30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its website.</w:t>
            </w:r>
          </w:p>
        </w:tc>
        <w:tc>
          <w:tcPr>
            <w:tcW w:w="1916" w:type="dxa"/>
          </w:tcPr>
          <w:p w:rsidR="003B3D5E" w:rsidRPr="007430E0" w:rsidRDefault="003B3D5E" w:rsidP="00C828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30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The Listed entity has updated all the relevant details which is required to be disclosed on</w:t>
            </w:r>
          </w:p>
          <w:p w:rsidR="003B3D5E" w:rsidRPr="007430E0" w:rsidRDefault="003B3D5E" w:rsidP="00C828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30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its website.</w:t>
            </w:r>
          </w:p>
        </w:tc>
      </w:tr>
    </w:tbl>
    <w:p w:rsidR="008C0F5D" w:rsidRPr="007430E0" w:rsidRDefault="008C0F5D" w:rsidP="008C0F5D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3D0CCB" w:rsidRPr="007430E0" w:rsidRDefault="003D0CCB" w:rsidP="003D0CCB">
      <w:pPr>
        <w:pStyle w:val="NoSpacing"/>
        <w:rPr>
          <w:rFonts w:ascii="Times New Roman" w:hAnsi="Times New Roman"/>
          <w:b/>
          <w:sz w:val="20"/>
          <w:szCs w:val="20"/>
        </w:rPr>
      </w:pPr>
      <w:r w:rsidRPr="007430E0">
        <w:rPr>
          <w:rFonts w:ascii="Times New Roman" w:hAnsi="Times New Roman"/>
          <w:b/>
          <w:sz w:val="20"/>
          <w:szCs w:val="20"/>
        </w:rPr>
        <w:t>For Srishti Singh &amp; Associates</w:t>
      </w:r>
    </w:p>
    <w:p w:rsidR="003D0CCB" w:rsidRPr="007430E0" w:rsidRDefault="003D0CCB" w:rsidP="003D0CCB">
      <w:pPr>
        <w:pStyle w:val="NoSpacing"/>
        <w:rPr>
          <w:rFonts w:ascii="Times New Roman" w:hAnsi="Times New Roman"/>
          <w:b/>
          <w:sz w:val="20"/>
          <w:szCs w:val="20"/>
        </w:rPr>
      </w:pPr>
      <w:r w:rsidRPr="007430E0">
        <w:rPr>
          <w:rFonts w:ascii="Times New Roman" w:hAnsi="Times New Roman"/>
          <w:b/>
          <w:sz w:val="20"/>
          <w:szCs w:val="20"/>
        </w:rPr>
        <w:t>Practicing Company Secretaries</w:t>
      </w:r>
    </w:p>
    <w:p w:rsidR="003D0CCB" w:rsidRPr="007430E0" w:rsidRDefault="003D0CCB" w:rsidP="003D0CC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14EBE" w:rsidRPr="007430E0" w:rsidRDefault="00614EBE" w:rsidP="00614EBE">
      <w:pPr>
        <w:pStyle w:val="NoSpacing"/>
        <w:rPr>
          <w:sz w:val="20"/>
          <w:szCs w:val="20"/>
        </w:rPr>
      </w:pPr>
    </w:p>
    <w:p w:rsidR="003D0CCB" w:rsidRPr="007430E0" w:rsidRDefault="003D0CCB" w:rsidP="003D0CC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D0CCB" w:rsidRPr="007430E0" w:rsidRDefault="003D0CCB" w:rsidP="003D0CCB">
      <w:pPr>
        <w:pStyle w:val="NoSpacing"/>
        <w:rPr>
          <w:rFonts w:ascii="Times New Roman" w:hAnsi="Times New Roman"/>
          <w:b/>
          <w:sz w:val="20"/>
          <w:szCs w:val="20"/>
        </w:rPr>
      </w:pPr>
      <w:r w:rsidRPr="007430E0">
        <w:rPr>
          <w:rFonts w:ascii="Times New Roman" w:hAnsi="Times New Roman"/>
          <w:b/>
          <w:sz w:val="20"/>
          <w:szCs w:val="20"/>
        </w:rPr>
        <w:t>Srishti Singh</w:t>
      </w:r>
    </w:p>
    <w:p w:rsidR="003D0CCB" w:rsidRPr="007430E0" w:rsidRDefault="003D0CCB" w:rsidP="003D0CCB">
      <w:pPr>
        <w:pStyle w:val="NoSpacing"/>
        <w:rPr>
          <w:rFonts w:ascii="Times New Roman" w:hAnsi="Times New Roman"/>
          <w:b/>
          <w:sz w:val="20"/>
          <w:szCs w:val="20"/>
        </w:rPr>
      </w:pPr>
      <w:r w:rsidRPr="007430E0">
        <w:rPr>
          <w:rFonts w:ascii="Times New Roman" w:hAnsi="Times New Roman"/>
          <w:b/>
          <w:sz w:val="20"/>
          <w:szCs w:val="20"/>
        </w:rPr>
        <w:t>(Proprietor)</w:t>
      </w:r>
    </w:p>
    <w:p w:rsidR="003D0CCB" w:rsidRPr="007430E0" w:rsidRDefault="003D0CCB" w:rsidP="003D0CCB">
      <w:pPr>
        <w:pStyle w:val="NoSpacing"/>
        <w:rPr>
          <w:rFonts w:ascii="Times New Roman" w:hAnsi="Times New Roman"/>
          <w:sz w:val="20"/>
          <w:szCs w:val="20"/>
        </w:rPr>
      </w:pPr>
      <w:r w:rsidRPr="007430E0">
        <w:rPr>
          <w:rFonts w:ascii="Times New Roman" w:hAnsi="Times New Roman"/>
          <w:sz w:val="20"/>
          <w:szCs w:val="20"/>
        </w:rPr>
        <w:t>Mem</w:t>
      </w:r>
      <w:r w:rsidR="00F57F15" w:rsidRPr="007430E0">
        <w:rPr>
          <w:rFonts w:ascii="Times New Roman" w:hAnsi="Times New Roman"/>
          <w:sz w:val="20"/>
          <w:szCs w:val="20"/>
        </w:rPr>
        <w:t>.</w:t>
      </w:r>
      <w:r w:rsidR="00D467F7" w:rsidRPr="007430E0">
        <w:rPr>
          <w:rFonts w:ascii="Times New Roman" w:hAnsi="Times New Roman"/>
          <w:sz w:val="20"/>
          <w:szCs w:val="20"/>
        </w:rPr>
        <w:t xml:space="preserve"> N</w:t>
      </w:r>
      <w:r w:rsidRPr="007430E0">
        <w:rPr>
          <w:rFonts w:ascii="Times New Roman" w:hAnsi="Times New Roman"/>
          <w:sz w:val="20"/>
          <w:szCs w:val="20"/>
        </w:rPr>
        <w:t>o. A50820</w:t>
      </w:r>
    </w:p>
    <w:p w:rsidR="003D0CCB" w:rsidRPr="007430E0" w:rsidRDefault="003D0CCB" w:rsidP="003D0CCB">
      <w:pPr>
        <w:pStyle w:val="NoSpacing"/>
        <w:rPr>
          <w:rFonts w:ascii="Times New Roman" w:hAnsi="Times New Roman"/>
          <w:sz w:val="20"/>
          <w:szCs w:val="20"/>
        </w:rPr>
      </w:pPr>
      <w:r w:rsidRPr="007430E0">
        <w:rPr>
          <w:rFonts w:ascii="Times New Roman" w:hAnsi="Times New Roman"/>
          <w:sz w:val="20"/>
          <w:szCs w:val="20"/>
        </w:rPr>
        <w:t>COP No. 21900</w:t>
      </w:r>
    </w:p>
    <w:p w:rsidR="003D0CCB" w:rsidRPr="007430E0" w:rsidRDefault="003D0CCB" w:rsidP="003D0CCB">
      <w:pPr>
        <w:pStyle w:val="NoSpacing"/>
        <w:rPr>
          <w:rFonts w:ascii="Times New Roman" w:hAnsi="Times New Roman"/>
          <w:sz w:val="20"/>
          <w:szCs w:val="20"/>
        </w:rPr>
      </w:pPr>
    </w:p>
    <w:p w:rsidR="003D0CCB" w:rsidRPr="007430E0" w:rsidRDefault="003D0CCB" w:rsidP="003D0CCB">
      <w:pPr>
        <w:pStyle w:val="NoSpacing"/>
        <w:rPr>
          <w:rFonts w:ascii="Times New Roman" w:hAnsi="Times New Roman"/>
          <w:sz w:val="20"/>
          <w:szCs w:val="20"/>
        </w:rPr>
      </w:pPr>
      <w:r w:rsidRPr="007430E0">
        <w:rPr>
          <w:rFonts w:ascii="Times New Roman" w:hAnsi="Times New Roman"/>
          <w:sz w:val="20"/>
          <w:szCs w:val="20"/>
        </w:rPr>
        <w:t>Place: New Delhi</w:t>
      </w:r>
    </w:p>
    <w:p w:rsidR="003D0CCB" w:rsidRPr="007430E0" w:rsidRDefault="005223F4" w:rsidP="003D0CCB">
      <w:pPr>
        <w:pStyle w:val="NoSpacing"/>
        <w:rPr>
          <w:rFonts w:ascii="Times New Roman" w:hAnsi="Times New Roman"/>
          <w:sz w:val="20"/>
          <w:szCs w:val="20"/>
        </w:rPr>
      </w:pPr>
      <w:r w:rsidRPr="007430E0">
        <w:rPr>
          <w:rFonts w:ascii="Times New Roman" w:hAnsi="Times New Roman"/>
          <w:sz w:val="20"/>
          <w:szCs w:val="20"/>
        </w:rPr>
        <w:t xml:space="preserve">Date: </w:t>
      </w:r>
    </w:p>
    <w:p w:rsidR="00457F58" w:rsidRPr="007430E0" w:rsidRDefault="00457F58" w:rsidP="003D0CCB">
      <w:pPr>
        <w:pStyle w:val="NoSpacing"/>
        <w:rPr>
          <w:rFonts w:ascii="Times New Roman" w:hAnsi="Times New Roman"/>
          <w:sz w:val="20"/>
          <w:szCs w:val="20"/>
        </w:rPr>
      </w:pPr>
    </w:p>
    <w:p w:rsidR="007430E0" w:rsidRPr="00E871A4" w:rsidRDefault="00457F58">
      <w:pPr>
        <w:pStyle w:val="NoSpacing"/>
        <w:rPr>
          <w:rFonts w:ascii="Times New Roman" w:hAnsi="Times New Roman"/>
          <w:sz w:val="20"/>
          <w:szCs w:val="20"/>
        </w:rPr>
      </w:pPr>
      <w:r w:rsidRPr="007430E0">
        <w:rPr>
          <w:rFonts w:ascii="Times New Roman" w:hAnsi="Times New Roman"/>
          <w:sz w:val="20"/>
          <w:szCs w:val="20"/>
        </w:rPr>
        <w:t>UDIN:</w:t>
      </w:r>
      <w:r w:rsidR="00BF4D92">
        <w:rPr>
          <w:rFonts w:ascii="Times New Roman" w:hAnsi="Times New Roman"/>
          <w:sz w:val="20"/>
          <w:szCs w:val="20"/>
        </w:rPr>
        <w:t xml:space="preserve"> </w:t>
      </w:r>
      <w:r w:rsidR="00BF4D92" w:rsidRPr="00BF4D92">
        <w:rPr>
          <w:rFonts w:ascii="Times New Roman" w:hAnsi="Times New Roman"/>
          <w:sz w:val="20"/>
          <w:szCs w:val="20"/>
        </w:rPr>
        <w:t>A050820C000557458</w:t>
      </w:r>
    </w:p>
    <w:sectPr w:rsidR="007430E0" w:rsidRPr="00E871A4" w:rsidSect="0036453A">
      <w:headerReference w:type="first" r:id="rId7"/>
      <w:pgSz w:w="12240" w:h="15840"/>
      <w:pgMar w:top="900" w:right="1440" w:bottom="851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89" w:rsidRDefault="00822C89" w:rsidP="008C0F5D">
      <w:pPr>
        <w:spacing w:after="0" w:line="240" w:lineRule="auto"/>
      </w:pPr>
      <w:r>
        <w:separator/>
      </w:r>
    </w:p>
  </w:endnote>
  <w:endnote w:type="continuationSeparator" w:id="1">
    <w:p w:rsidR="00822C89" w:rsidRDefault="00822C89" w:rsidP="008C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89" w:rsidRDefault="00822C89" w:rsidP="008C0F5D">
      <w:pPr>
        <w:spacing w:after="0" w:line="240" w:lineRule="auto"/>
      </w:pPr>
      <w:r>
        <w:separator/>
      </w:r>
    </w:p>
  </w:footnote>
  <w:footnote w:type="continuationSeparator" w:id="1">
    <w:p w:rsidR="00822C89" w:rsidRDefault="00822C89" w:rsidP="008C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90" w:type="dxa"/>
      <w:tblInd w:w="-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48"/>
      <w:gridCol w:w="5742"/>
    </w:tblGrid>
    <w:tr w:rsidR="00785A05" w:rsidRPr="00A97B76" w:rsidTr="00865C42">
      <w:tc>
        <w:tcPr>
          <w:tcW w:w="4248" w:type="dxa"/>
          <w:tcBorders>
            <w:bottom w:val="single" w:sz="4" w:space="0" w:color="auto"/>
          </w:tcBorders>
        </w:tcPr>
        <w:p w:rsidR="00785A05" w:rsidRPr="00643608" w:rsidRDefault="00785A05" w:rsidP="00865C42">
          <w:pPr>
            <w:pStyle w:val="Header"/>
            <w:rPr>
              <w:rFonts w:ascii="Times New Roman" w:hAnsi="Times New Roman" w:cs="Times New Roman"/>
            </w:rPr>
          </w:pPr>
          <w:r w:rsidRPr="00A97B76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428625" cy="428625"/>
                <wp:effectExtent l="19050" t="0" r="9525" b="0"/>
                <wp:docPr id="4" name="Picture 1" descr="E:\FIRM\My Work\Profile\vising card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FIRM\My Work\Profile\vising card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85A05" w:rsidRDefault="00785A05" w:rsidP="00865C42">
          <w:pPr>
            <w:rPr>
              <w:rFonts w:ascii="Times New Roman" w:hAnsi="Times New Roman" w:cs="Times New Roman"/>
              <w:sz w:val="28"/>
            </w:rPr>
          </w:pPr>
          <w:r w:rsidRPr="00643608">
            <w:rPr>
              <w:rFonts w:ascii="Times New Roman" w:hAnsi="Times New Roman" w:cs="Times New Roman"/>
              <w:sz w:val="28"/>
            </w:rPr>
            <w:t>Srishti Singh</w:t>
          </w:r>
        </w:p>
        <w:p w:rsidR="00785A05" w:rsidRPr="00643608" w:rsidRDefault="00103906" w:rsidP="00103906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ACS</w:t>
          </w:r>
          <w:r w:rsidR="00457F58">
            <w:rPr>
              <w:rFonts w:ascii="Times New Roman" w:hAnsi="Times New Roman" w:cs="Times New Roman"/>
            </w:rPr>
            <w:t>, LL.B.</w:t>
          </w:r>
        </w:p>
      </w:tc>
      <w:tc>
        <w:tcPr>
          <w:tcW w:w="5742" w:type="dxa"/>
          <w:tcBorders>
            <w:bottom w:val="single" w:sz="4" w:space="0" w:color="auto"/>
          </w:tcBorders>
        </w:tcPr>
        <w:p w:rsidR="00785A05" w:rsidRDefault="00785A05" w:rsidP="00865C42">
          <w:pPr>
            <w:pStyle w:val="Header"/>
            <w:jc w:val="right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>Srishti S</w:t>
          </w:r>
          <w:r w:rsidRPr="00A97B76">
            <w:rPr>
              <w:rFonts w:ascii="Times New Roman" w:hAnsi="Times New Roman" w:cs="Times New Roman"/>
              <w:sz w:val="32"/>
            </w:rPr>
            <w:t>ingh</w:t>
          </w:r>
          <w:r>
            <w:rPr>
              <w:rFonts w:ascii="Times New Roman" w:hAnsi="Times New Roman" w:cs="Times New Roman"/>
              <w:sz w:val="32"/>
            </w:rPr>
            <w:t xml:space="preserve"> &amp; Associates </w:t>
          </w:r>
        </w:p>
        <w:p w:rsidR="00785A05" w:rsidRDefault="00785A05" w:rsidP="00865C42">
          <w:pPr>
            <w:pStyle w:val="Header"/>
            <w:jc w:val="right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>Company Secretary</w:t>
          </w:r>
        </w:p>
        <w:p w:rsidR="00785A05" w:rsidRPr="00643608" w:rsidRDefault="00785A05" w:rsidP="00865C42">
          <w:pPr>
            <w:pStyle w:val="Header"/>
            <w:jc w:val="right"/>
            <w:rPr>
              <w:rFonts w:ascii="Times New Roman" w:hAnsi="Times New Roman" w:cs="Times New Roman"/>
              <w:sz w:val="24"/>
            </w:rPr>
          </w:pPr>
          <w:r w:rsidRPr="00643608">
            <w:rPr>
              <w:rFonts w:ascii="Times New Roman" w:hAnsi="Times New Roman" w:cs="Times New Roman"/>
              <w:sz w:val="24"/>
            </w:rPr>
            <w:t>#</w:t>
          </w:r>
          <w:r w:rsidRPr="00643608">
            <w:rPr>
              <w:sz w:val="18"/>
            </w:rPr>
            <w:t xml:space="preserve"> </w:t>
          </w:r>
          <w:r w:rsidRPr="00643608">
            <w:rPr>
              <w:rFonts w:ascii="Times New Roman" w:hAnsi="Times New Roman" w:cs="Times New Roman"/>
              <w:sz w:val="24"/>
            </w:rPr>
            <w:t xml:space="preserve">A-17/G-2, A-Block, </w:t>
          </w:r>
        </w:p>
        <w:p w:rsidR="00785A05" w:rsidRDefault="00785A05" w:rsidP="00865C42">
          <w:pPr>
            <w:pStyle w:val="Header"/>
            <w:jc w:val="right"/>
            <w:rPr>
              <w:rFonts w:ascii="Times New Roman" w:hAnsi="Times New Roman" w:cs="Times New Roman"/>
              <w:sz w:val="24"/>
            </w:rPr>
          </w:pPr>
          <w:r w:rsidRPr="00643608">
            <w:rPr>
              <w:rFonts w:ascii="Times New Roman" w:hAnsi="Times New Roman" w:cs="Times New Roman"/>
              <w:sz w:val="24"/>
            </w:rPr>
            <w:t>Dilshad Garden, New Delhi- 110095</w:t>
          </w:r>
        </w:p>
        <w:p w:rsidR="00785A05" w:rsidRDefault="00103906" w:rsidP="00865C42">
          <w:pPr>
            <w:pStyle w:val="Header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Mob. 8858060821</w:t>
          </w:r>
        </w:p>
        <w:p w:rsidR="00785A05" w:rsidRPr="00A97B76" w:rsidRDefault="00785A05" w:rsidP="00865C42">
          <w:pPr>
            <w:pStyle w:val="Header"/>
            <w:jc w:val="right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24"/>
            </w:rPr>
            <w:t>Email Id: cssrishtisingh@gmail.com</w:t>
          </w:r>
        </w:p>
      </w:tc>
    </w:tr>
  </w:tbl>
  <w:p w:rsidR="003D0CCB" w:rsidRDefault="003D0C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CFA"/>
    <w:multiLevelType w:val="hybridMultilevel"/>
    <w:tmpl w:val="A9326F32"/>
    <w:lvl w:ilvl="0" w:tplc="D11EEC72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3689"/>
    <w:multiLevelType w:val="hybridMultilevel"/>
    <w:tmpl w:val="BA1A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B04AE"/>
    <w:multiLevelType w:val="hybridMultilevel"/>
    <w:tmpl w:val="A9326F32"/>
    <w:lvl w:ilvl="0" w:tplc="D11EEC72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6259"/>
    <w:multiLevelType w:val="hybridMultilevel"/>
    <w:tmpl w:val="69869B5E"/>
    <w:lvl w:ilvl="0" w:tplc="6A60404C">
      <w:start w:val="1"/>
      <w:numFmt w:val="decimal"/>
      <w:lvlText w:val="%1."/>
      <w:lvlJc w:val="right"/>
      <w:pPr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F45EB"/>
    <w:multiLevelType w:val="hybridMultilevel"/>
    <w:tmpl w:val="377A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62DCE"/>
    <w:multiLevelType w:val="hybridMultilevel"/>
    <w:tmpl w:val="E45092F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6B3D4C86"/>
    <w:multiLevelType w:val="hybridMultilevel"/>
    <w:tmpl w:val="D81A0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F594E"/>
    <w:multiLevelType w:val="hybridMultilevel"/>
    <w:tmpl w:val="7064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5EE0"/>
    <w:rsid w:val="000035E1"/>
    <w:rsid w:val="00003C30"/>
    <w:rsid w:val="00023ED7"/>
    <w:rsid w:val="0002498A"/>
    <w:rsid w:val="00024D21"/>
    <w:rsid w:val="000327CD"/>
    <w:rsid w:val="00034429"/>
    <w:rsid w:val="000417AD"/>
    <w:rsid w:val="0004649F"/>
    <w:rsid w:val="00055256"/>
    <w:rsid w:val="00072DC4"/>
    <w:rsid w:val="000C1369"/>
    <w:rsid w:val="000D1577"/>
    <w:rsid w:val="00103906"/>
    <w:rsid w:val="001048A5"/>
    <w:rsid w:val="001116FC"/>
    <w:rsid w:val="00114846"/>
    <w:rsid w:val="00121A8C"/>
    <w:rsid w:val="0012644B"/>
    <w:rsid w:val="001301F6"/>
    <w:rsid w:val="00140E31"/>
    <w:rsid w:val="001656CE"/>
    <w:rsid w:val="001A7059"/>
    <w:rsid w:val="001B41C0"/>
    <w:rsid w:val="001C615E"/>
    <w:rsid w:val="001D118E"/>
    <w:rsid w:val="001D3F72"/>
    <w:rsid w:val="001D79A6"/>
    <w:rsid w:val="001E214B"/>
    <w:rsid w:val="001E7E80"/>
    <w:rsid w:val="001F61A2"/>
    <w:rsid w:val="002041A6"/>
    <w:rsid w:val="00223A68"/>
    <w:rsid w:val="00227B00"/>
    <w:rsid w:val="002536B5"/>
    <w:rsid w:val="00283540"/>
    <w:rsid w:val="00292321"/>
    <w:rsid w:val="002F0076"/>
    <w:rsid w:val="002F3BC7"/>
    <w:rsid w:val="00303A23"/>
    <w:rsid w:val="00322CE1"/>
    <w:rsid w:val="003236A5"/>
    <w:rsid w:val="00331BB0"/>
    <w:rsid w:val="00356444"/>
    <w:rsid w:val="0036021E"/>
    <w:rsid w:val="0036453A"/>
    <w:rsid w:val="00365486"/>
    <w:rsid w:val="003719CB"/>
    <w:rsid w:val="0037798D"/>
    <w:rsid w:val="00386A67"/>
    <w:rsid w:val="0039097B"/>
    <w:rsid w:val="0039213A"/>
    <w:rsid w:val="003B35BC"/>
    <w:rsid w:val="003B3D5E"/>
    <w:rsid w:val="003C53DB"/>
    <w:rsid w:val="003D0CCB"/>
    <w:rsid w:val="003E5718"/>
    <w:rsid w:val="003E743B"/>
    <w:rsid w:val="004073E5"/>
    <w:rsid w:val="00415BE9"/>
    <w:rsid w:val="004271D1"/>
    <w:rsid w:val="00441B1F"/>
    <w:rsid w:val="00457F58"/>
    <w:rsid w:val="00463901"/>
    <w:rsid w:val="00471D87"/>
    <w:rsid w:val="004918B0"/>
    <w:rsid w:val="004931F4"/>
    <w:rsid w:val="004969B6"/>
    <w:rsid w:val="004E06DB"/>
    <w:rsid w:val="005017FC"/>
    <w:rsid w:val="005223F4"/>
    <w:rsid w:val="0052740B"/>
    <w:rsid w:val="00530AD0"/>
    <w:rsid w:val="0053491F"/>
    <w:rsid w:val="005510CA"/>
    <w:rsid w:val="005A59BB"/>
    <w:rsid w:val="005B5CEA"/>
    <w:rsid w:val="005B5EE0"/>
    <w:rsid w:val="005D6A60"/>
    <w:rsid w:val="005E56DB"/>
    <w:rsid w:val="00614EBE"/>
    <w:rsid w:val="00635656"/>
    <w:rsid w:val="006444AF"/>
    <w:rsid w:val="006C3657"/>
    <w:rsid w:val="006C676C"/>
    <w:rsid w:val="006D52E5"/>
    <w:rsid w:val="006F1B0D"/>
    <w:rsid w:val="006F52A1"/>
    <w:rsid w:val="00700320"/>
    <w:rsid w:val="007160D2"/>
    <w:rsid w:val="007430E0"/>
    <w:rsid w:val="0077200D"/>
    <w:rsid w:val="00782ED7"/>
    <w:rsid w:val="00785A05"/>
    <w:rsid w:val="00793748"/>
    <w:rsid w:val="00796F84"/>
    <w:rsid w:val="007B3BDA"/>
    <w:rsid w:val="00807121"/>
    <w:rsid w:val="00817899"/>
    <w:rsid w:val="008220A7"/>
    <w:rsid w:val="00822C89"/>
    <w:rsid w:val="00842B27"/>
    <w:rsid w:val="00875011"/>
    <w:rsid w:val="00894B8E"/>
    <w:rsid w:val="008A4E52"/>
    <w:rsid w:val="008A56AD"/>
    <w:rsid w:val="008B00DE"/>
    <w:rsid w:val="008C0F5D"/>
    <w:rsid w:val="008C62CD"/>
    <w:rsid w:val="008D514D"/>
    <w:rsid w:val="008E3FF8"/>
    <w:rsid w:val="008F6D65"/>
    <w:rsid w:val="00902BD0"/>
    <w:rsid w:val="00926FE9"/>
    <w:rsid w:val="0095370E"/>
    <w:rsid w:val="00962D1C"/>
    <w:rsid w:val="009663DD"/>
    <w:rsid w:val="009707FA"/>
    <w:rsid w:val="00990640"/>
    <w:rsid w:val="009932E9"/>
    <w:rsid w:val="009A00CB"/>
    <w:rsid w:val="009A726C"/>
    <w:rsid w:val="009F1EF4"/>
    <w:rsid w:val="00A03665"/>
    <w:rsid w:val="00A56771"/>
    <w:rsid w:val="00A8602B"/>
    <w:rsid w:val="00AB05FC"/>
    <w:rsid w:val="00AF5E13"/>
    <w:rsid w:val="00AF75ED"/>
    <w:rsid w:val="00B00C54"/>
    <w:rsid w:val="00B12775"/>
    <w:rsid w:val="00B1716A"/>
    <w:rsid w:val="00B309B2"/>
    <w:rsid w:val="00B5514A"/>
    <w:rsid w:val="00BD6B33"/>
    <w:rsid w:val="00BE1B7A"/>
    <w:rsid w:val="00BE7BBA"/>
    <w:rsid w:val="00BF4D92"/>
    <w:rsid w:val="00BF51E6"/>
    <w:rsid w:val="00C22BEA"/>
    <w:rsid w:val="00C32D9F"/>
    <w:rsid w:val="00C542FE"/>
    <w:rsid w:val="00C55610"/>
    <w:rsid w:val="00C64992"/>
    <w:rsid w:val="00C67D1E"/>
    <w:rsid w:val="00C701EB"/>
    <w:rsid w:val="00C71289"/>
    <w:rsid w:val="00C738EE"/>
    <w:rsid w:val="00C804D9"/>
    <w:rsid w:val="00C8747C"/>
    <w:rsid w:val="00C9038A"/>
    <w:rsid w:val="00CA6BF2"/>
    <w:rsid w:val="00CC4677"/>
    <w:rsid w:val="00CE5298"/>
    <w:rsid w:val="00CE7F30"/>
    <w:rsid w:val="00D16806"/>
    <w:rsid w:val="00D36000"/>
    <w:rsid w:val="00D467F7"/>
    <w:rsid w:val="00D60EFB"/>
    <w:rsid w:val="00D709D5"/>
    <w:rsid w:val="00D75D15"/>
    <w:rsid w:val="00D8087A"/>
    <w:rsid w:val="00D82740"/>
    <w:rsid w:val="00D859BE"/>
    <w:rsid w:val="00DA31BF"/>
    <w:rsid w:val="00DB67CD"/>
    <w:rsid w:val="00DB7C6E"/>
    <w:rsid w:val="00DF721E"/>
    <w:rsid w:val="00E06499"/>
    <w:rsid w:val="00E415B8"/>
    <w:rsid w:val="00E55557"/>
    <w:rsid w:val="00E55F9D"/>
    <w:rsid w:val="00E871A4"/>
    <w:rsid w:val="00E94D7D"/>
    <w:rsid w:val="00EE5368"/>
    <w:rsid w:val="00F228C5"/>
    <w:rsid w:val="00F30873"/>
    <w:rsid w:val="00F505BA"/>
    <w:rsid w:val="00F57F15"/>
    <w:rsid w:val="00F7218B"/>
    <w:rsid w:val="00F8193A"/>
    <w:rsid w:val="00FD2E75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F5D"/>
    <w:pPr>
      <w:ind w:left="720"/>
      <w:contextualSpacing/>
    </w:pPr>
  </w:style>
  <w:style w:type="table" w:styleId="TableGrid">
    <w:name w:val="Table Grid"/>
    <w:basedOn w:val="TableNormal"/>
    <w:uiPriority w:val="59"/>
    <w:rsid w:val="008C0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0F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F5D"/>
  </w:style>
  <w:style w:type="paragraph" w:styleId="Footer">
    <w:name w:val="footer"/>
    <w:basedOn w:val="Normal"/>
    <w:link w:val="FooterChar"/>
    <w:uiPriority w:val="99"/>
    <w:semiHidden/>
    <w:unhideWhenUsed/>
    <w:rsid w:val="008C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F5D"/>
  </w:style>
  <w:style w:type="paragraph" w:styleId="NoSpacing">
    <w:name w:val="No Spacing"/>
    <w:uiPriority w:val="1"/>
    <w:qFormat/>
    <w:rsid w:val="008C0F5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Jagrati</dc:creator>
  <cp:lastModifiedBy>user</cp:lastModifiedBy>
  <cp:revision>70</cp:revision>
  <dcterms:created xsi:type="dcterms:W3CDTF">2020-05-23T11:35:00Z</dcterms:created>
  <dcterms:modified xsi:type="dcterms:W3CDTF">2021-07-01T11:58:00Z</dcterms:modified>
</cp:coreProperties>
</file>